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330A" w14:textId="77777777" w:rsidR="0013046C" w:rsidRPr="0013046C" w:rsidRDefault="0013046C" w:rsidP="0013046C">
      <w:pPr>
        <w:spacing w:after="250" w:line="276" w:lineRule="auto"/>
        <w:jc w:val="both"/>
        <w:rPr>
          <w:rFonts w:ascii="Arial" w:eastAsia="Malgun Gothic" w:hAnsi="Arial" w:cs="Arial"/>
          <w:b/>
          <w:bCs/>
          <w:color w:val="00379F"/>
          <w:kern w:val="0"/>
          <w:szCs w:val="22"/>
          <w:u w:val="single"/>
          <w:lang w:eastAsia="en-US" w:bidi="ar-SA"/>
          <w14:ligatures w14:val="none"/>
        </w:rPr>
      </w:pPr>
      <w:r w:rsidRPr="0013046C">
        <w:rPr>
          <w:rFonts w:ascii="Arial" w:eastAsia="Malgun Gothic" w:hAnsi="Arial" w:cs="Arial"/>
          <w:b/>
          <w:bCs/>
          <w:color w:val="00379F"/>
          <w:kern w:val="0"/>
          <w:szCs w:val="22"/>
          <w:u w:val="single"/>
          <w:lang w:eastAsia="en-US" w:bidi="ar-SA"/>
          <w14:ligatures w14:val="none"/>
        </w:rPr>
        <w:t>CP on the RTS on reasonable commercial basis</w:t>
      </w:r>
    </w:p>
    <w:p w14:paraId="0F59D743"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to the general approach used to specify the costs and margin attributable to the production and distribution of market data? Please elaborate.</w:t>
      </w:r>
    </w:p>
    <w:p w14:paraId="04A3DA8B"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&lt;ESMA_QUESTION_CP1_26&gt;</w:t>
      </w:r>
    </w:p>
    <w:p w14:paraId="282A20BB" w14:textId="187A7737" w:rsidR="0013046C" w:rsidRDefault="00E337F3"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The cost of producing and disseminating the data should be published in a format that can be understood by consumers and the format should be standardised across the vendues. </w:t>
      </w:r>
    </w:p>
    <w:p w14:paraId="32952586" w14:textId="534E3C90" w:rsidR="00E337F3" w:rsidRPr="00E337F3" w:rsidRDefault="00E337F3" w:rsidP="00E337F3">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Paragraph 192 states: </w:t>
      </w:r>
    </w:p>
    <w:p w14:paraId="1ECD5F5F" w14:textId="7B76489C" w:rsidR="00E337F3" w:rsidRDefault="00E337F3" w:rsidP="00E337F3">
      <w:pPr>
        <w:spacing w:after="0" w:line="276" w:lineRule="auto"/>
        <w:jc w:val="both"/>
        <w:rPr>
          <w:rFonts w:ascii="Arial" w:eastAsia="Malgun Gothic" w:hAnsi="Arial" w:cs="Arial"/>
          <w:color w:val="1A1A1A"/>
          <w:kern w:val="0"/>
          <w:sz w:val="22"/>
          <w:szCs w:val="20"/>
          <w:lang w:eastAsia="en-US" w:bidi="ar-SA"/>
          <w14:ligatures w14:val="none"/>
        </w:rPr>
      </w:pPr>
      <w:r w:rsidRPr="00E337F3">
        <w:rPr>
          <w:rFonts w:ascii="Arial" w:eastAsia="Malgun Gothic" w:hAnsi="Arial" w:cs="Arial"/>
          <w:i/>
          <w:iCs/>
          <w:color w:val="1A1A1A"/>
          <w:kern w:val="0"/>
          <w:sz w:val="22"/>
          <w:szCs w:val="20"/>
          <w:lang w:eastAsia="en-US" w:bidi="ar-SA"/>
          <w14:ligatures w14:val="none"/>
        </w:rPr>
        <w:t>The draft RTS intentionally does not include audit costs among the costs of production and distribution of market data. The rationale is that audit costs are not directly related to the business of producing and disseminating market data, therefore such costs should be borne by the data provider and not by data clients.</w:t>
      </w:r>
      <w:r w:rsidRPr="00E337F3">
        <w:rPr>
          <w:rFonts w:ascii="Arial" w:eastAsia="Malgun Gothic" w:hAnsi="Arial" w:cs="Arial"/>
          <w:color w:val="1A1A1A"/>
          <w:kern w:val="0"/>
          <w:sz w:val="22"/>
          <w:szCs w:val="20"/>
          <w:lang w:eastAsia="en-US" w:bidi="ar-SA"/>
          <w14:ligatures w14:val="none"/>
        </w:rPr>
        <w:t xml:space="preserve"> </w:t>
      </w:r>
    </w:p>
    <w:p w14:paraId="34634303" w14:textId="6A006AF1" w:rsidR="00E337F3" w:rsidRDefault="00E337F3" w:rsidP="00F978A9">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IPUG notes, that certain RTVs include cost of the audit in the</w:t>
      </w:r>
      <w:r w:rsidR="00F978A9">
        <w:rPr>
          <w:rFonts w:ascii="Arial" w:eastAsia="Malgun Gothic" w:hAnsi="Arial" w:cs="Arial"/>
          <w:color w:val="1A1A1A"/>
          <w:kern w:val="0"/>
          <w:sz w:val="22"/>
          <w:szCs w:val="20"/>
          <w:lang w:eastAsia="en-US" w:bidi="ar-SA"/>
          <w14:ligatures w14:val="none"/>
        </w:rPr>
        <w:t xml:space="preserve"> audit findings. For example, Deutsche Brose charges EUR 5,000 fee for audits that have some findings.</w:t>
      </w:r>
    </w:p>
    <w:p w14:paraId="1CCDE8A9" w14:textId="77777777" w:rsidR="00E337F3" w:rsidRDefault="00E337F3" w:rsidP="0013046C">
      <w:pPr>
        <w:spacing w:after="0" w:line="276" w:lineRule="auto"/>
        <w:jc w:val="both"/>
        <w:rPr>
          <w:rFonts w:ascii="Arial" w:eastAsia="Malgun Gothic" w:hAnsi="Arial" w:cs="Arial"/>
          <w:color w:val="1A1A1A"/>
          <w:kern w:val="0"/>
          <w:sz w:val="22"/>
          <w:szCs w:val="20"/>
          <w:lang w:eastAsia="en-US" w:bidi="ar-SA"/>
          <w14:ligatures w14:val="none"/>
        </w:rPr>
      </w:pPr>
    </w:p>
    <w:p w14:paraId="32CE9975" w14:textId="288C446F"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&lt;ESMA_QUESTION_CP1_26&gt;</w:t>
      </w:r>
    </w:p>
    <w:p w14:paraId="3AE1F459"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0967C1D1"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the proposed approach to cost calculation based on the identification of different cost categories attributable to the production and dissemination of market data (i.e. (</w:t>
      </w:r>
      <w:proofErr w:type="spellStart"/>
      <w:r w:rsidRPr="0013046C">
        <w:rPr>
          <w:rFonts w:ascii="Arial" w:eastAsia="Malgun Gothic" w:hAnsi="Arial" w:cs="Arial"/>
          <w:b/>
          <w:color w:val="1A1A1A"/>
          <w:kern w:val="0"/>
          <w:sz w:val="22"/>
          <w:szCs w:val="22"/>
          <w:lang w:eastAsia="en-US" w:bidi="ar-SA"/>
          <w14:ligatures w14:val="none"/>
        </w:rPr>
        <w:t>i</w:t>
      </w:r>
      <w:proofErr w:type="spellEnd"/>
      <w:r w:rsidRPr="0013046C">
        <w:rPr>
          <w:rFonts w:ascii="Arial" w:eastAsia="Malgun Gothic" w:hAnsi="Arial" w:cs="Arial"/>
          <w:b/>
          <w:color w:val="1A1A1A"/>
          <w:kern w:val="0"/>
          <w:sz w:val="22"/>
          <w:szCs w:val="22"/>
          <w:lang w:eastAsia="en-US" w:bidi="ar-SA"/>
          <w14:ligatures w14:val="none"/>
        </w:rPr>
        <w:t>) infrastructure costs; (ii) connectivity costs; (iii) personnel costs; (iv) financial costs; (v) administrative costs)? Please elaborate.</w:t>
      </w:r>
    </w:p>
    <w:p w14:paraId="6C832D57"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&lt;ESMA_QUESTION_CP1_27&gt;</w:t>
      </w:r>
    </w:p>
    <w:p w14:paraId="497FD8BB" w14:textId="434D3BD9" w:rsidR="00C22C22" w:rsidRPr="00F978A9" w:rsidRDefault="00F978A9"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IPUG generally agrees with the proposed methodology. </w:t>
      </w:r>
      <w:r w:rsidRPr="00F978A9">
        <w:rPr>
          <w:rFonts w:ascii="Arial" w:eastAsia="Malgun Gothic" w:hAnsi="Arial" w:cs="Arial"/>
          <w:color w:val="1A1A1A"/>
          <w:kern w:val="0"/>
          <w:sz w:val="22"/>
          <w:szCs w:val="20"/>
          <w:lang w:eastAsia="en-US" w:bidi="ar-SA"/>
          <w14:ligatures w14:val="none"/>
        </w:rPr>
        <w:t>IPUG recommends that ESMA a</w:t>
      </w:r>
      <w:r>
        <w:rPr>
          <w:rFonts w:ascii="Arial" w:eastAsia="Malgun Gothic" w:hAnsi="Arial" w:cs="Arial"/>
          <w:color w:val="1A1A1A"/>
          <w:kern w:val="0"/>
          <w:sz w:val="22"/>
          <w:szCs w:val="20"/>
          <w:lang w:eastAsia="en-US" w:bidi="ar-SA"/>
          <w14:ligatures w14:val="none"/>
        </w:rPr>
        <w:t xml:space="preserve">dopts a way for consumers to question any future significant cost increases that are above CPI and where the cost increase is not related to the cost and producing and disseminating the data. </w:t>
      </w:r>
    </w:p>
    <w:p w14:paraId="6B31FEC8" w14:textId="45CC4BAC" w:rsidR="0013046C" w:rsidRPr="00764356"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764356">
        <w:rPr>
          <w:rFonts w:ascii="Arial" w:eastAsia="Malgun Gothic" w:hAnsi="Arial" w:cs="Arial"/>
          <w:color w:val="1A1A1A"/>
          <w:kern w:val="0"/>
          <w:sz w:val="22"/>
          <w:szCs w:val="20"/>
          <w:lang w:eastAsia="en-US" w:bidi="ar-SA"/>
          <w14:ligatures w14:val="none"/>
        </w:rPr>
        <w:t>&lt;ESMA_QUESTION_CP1_27&gt;</w:t>
      </w:r>
    </w:p>
    <w:p w14:paraId="78081D4A" w14:textId="77777777" w:rsidR="0013046C" w:rsidRPr="00764356"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6A58899B"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the proposal of apportioning costs based on the use of resources (i.e., infrastructure, personnel, software…) for each service provided? Do you think the methodology to be used to apportion costs should be further specified? Please elaborate.</w:t>
      </w:r>
    </w:p>
    <w:p w14:paraId="61A3E489"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&lt;ESMA_QUESTION_CP1_28&gt;</w:t>
      </w:r>
    </w:p>
    <w:p w14:paraId="31F3F917" w14:textId="48AA5034"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&lt;ESMA_QUESTION_CP1_28&gt;</w:t>
      </w:r>
    </w:p>
    <w:p w14:paraId="77A7C829"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7AB6C0CE"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that the net profit as defined in Article 3 of the draft RTS can be a representative proxy of the margin applicable to data fees and would you include additional principles to define when a margin can be considered reasonable? Please elaborate.</w:t>
      </w:r>
    </w:p>
    <w:p w14:paraId="500F9F0A"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&lt;ESMA_QUESTION_CP1_29&gt;</w:t>
      </w:r>
    </w:p>
    <w:p w14:paraId="2929FDFD" w14:textId="77777777" w:rsidR="00C22C22" w:rsidRDefault="00C22C22" w:rsidP="0013046C">
      <w:pPr>
        <w:spacing w:after="0" w:line="276" w:lineRule="auto"/>
        <w:jc w:val="both"/>
        <w:rPr>
          <w:rFonts w:ascii="Arial" w:eastAsia="Malgun Gothic" w:hAnsi="Arial" w:cs="Arial"/>
          <w:color w:val="1A1A1A"/>
          <w:kern w:val="0"/>
          <w:sz w:val="22"/>
          <w:szCs w:val="20"/>
          <w:lang w:eastAsia="en-US" w:bidi="ar-SA"/>
          <w14:ligatures w14:val="none"/>
        </w:rPr>
      </w:pPr>
    </w:p>
    <w:p w14:paraId="14FBAD99" w14:textId="7F52DE60"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&lt;ESMA_QUESTION_CP1_29&gt;</w:t>
      </w:r>
    </w:p>
    <w:p w14:paraId="163F90B1"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1F9E9312"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lastRenderedPageBreak/>
        <w:t>Do you agree with the proposed template for the purpose of information reporting to NCAs on the cost of producing and disseminating data and on the margin applied to data? Please elaborate, including if further information should in your view be added to the template.</w:t>
      </w:r>
    </w:p>
    <w:p w14:paraId="19C319A2" w14:textId="3D5AF2D7" w:rsidR="00C22C22" w:rsidRPr="008A4F13" w:rsidRDefault="0013046C" w:rsidP="001F43D2">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&lt;ESMA_QUESTION_CP1_30&gt;</w:t>
      </w:r>
    </w:p>
    <w:p w14:paraId="4BE53DA1" w14:textId="4B01A927" w:rsidR="0013046C" w:rsidRPr="00764356"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764356">
        <w:rPr>
          <w:rFonts w:ascii="Arial" w:eastAsia="Malgun Gothic" w:hAnsi="Arial" w:cs="Arial"/>
          <w:color w:val="1A1A1A"/>
          <w:kern w:val="0"/>
          <w:sz w:val="22"/>
          <w:szCs w:val="20"/>
          <w:lang w:eastAsia="en-US" w:bidi="ar-SA"/>
          <w14:ligatures w14:val="none"/>
        </w:rPr>
        <w:t>&lt;ESMA_QUESTION_CP1_30&gt;</w:t>
      </w:r>
    </w:p>
    <w:p w14:paraId="347A2CEB" w14:textId="77777777" w:rsidR="0013046C" w:rsidRPr="00764356"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4E1A0EA2"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What are in your view the obstacles to non-discriminatory access to data taking into consideration the current data market data policies and agreements?</w:t>
      </w:r>
    </w:p>
    <w:p w14:paraId="58B03FD5"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&lt;ESMA_QUESTION_CP1_31&gt;</w:t>
      </w:r>
    </w:p>
    <w:p w14:paraId="601C919E" w14:textId="404C0387" w:rsidR="00C22C22" w:rsidRDefault="008A4F13" w:rsidP="0013046C">
      <w:pPr>
        <w:spacing w:after="0" w:line="276" w:lineRule="auto"/>
        <w:jc w:val="both"/>
        <w:rPr>
          <w:rFonts w:ascii="Arial" w:eastAsia="Malgun Gothic" w:hAnsi="Arial" w:cs="Arial"/>
          <w:color w:val="1A1A1A"/>
          <w:kern w:val="0"/>
          <w:sz w:val="22"/>
          <w:szCs w:val="20"/>
          <w:lang w:eastAsia="en-US" w:bidi="ar-SA"/>
          <w14:ligatures w14:val="none"/>
        </w:rPr>
      </w:pPr>
      <w:r w:rsidRPr="008A4F13">
        <w:rPr>
          <w:rFonts w:ascii="Arial" w:eastAsia="Malgun Gothic" w:hAnsi="Arial" w:cs="Arial"/>
          <w:color w:val="1A1A1A"/>
          <w:kern w:val="0"/>
          <w:sz w:val="22"/>
          <w:szCs w:val="20"/>
          <w:lang w:eastAsia="en-US" w:bidi="ar-SA"/>
          <w14:ligatures w14:val="none"/>
        </w:rPr>
        <w:t>IPUG notes that requesting a n</w:t>
      </w:r>
      <w:r>
        <w:rPr>
          <w:rFonts w:ascii="Arial" w:eastAsia="Malgun Gothic" w:hAnsi="Arial" w:cs="Arial"/>
          <w:color w:val="1A1A1A"/>
          <w:kern w:val="0"/>
          <w:sz w:val="22"/>
          <w:szCs w:val="20"/>
          <w:lang w:eastAsia="en-US" w:bidi="ar-SA"/>
          <w14:ligatures w14:val="none"/>
        </w:rPr>
        <w:t xml:space="preserve">ew data feed through a data vendor is a very admin resource intensive exercise. </w:t>
      </w:r>
      <w:r w:rsidR="00CF2FE2">
        <w:rPr>
          <w:rFonts w:ascii="Arial" w:eastAsia="Malgun Gothic" w:hAnsi="Arial" w:cs="Arial"/>
          <w:color w:val="1A1A1A"/>
          <w:kern w:val="0"/>
          <w:sz w:val="22"/>
          <w:szCs w:val="20"/>
          <w:lang w:eastAsia="en-US" w:bidi="ar-SA"/>
          <w14:ligatures w14:val="none"/>
        </w:rPr>
        <w:t xml:space="preserve">Consumers often require to provide detailed descriptions and information around use cases, locations and users even in situations where consumer requires delayed data subscription or an additional </w:t>
      </w:r>
      <w:r w:rsidR="001F43D2">
        <w:rPr>
          <w:rFonts w:ascii="Arial" w:eastAsia="Malgun Gothic" w:hAnsi="Arial" w:cs="Arial"/>
          <w:color w:val="1A1A1A"/>
          <w:kern w:val="0"/>
          <w:sz w:val="22"/>
          <w:szCs w:val="20"/>
          <w:lang w:eastAsia="en-US" w:bidi="ar-SA"/>
          <w14:ligatures w14:val="none"/>
        </w:rPr>
        <w:t xml:space="preserve">data </w:t>
      </w:r>
      <w:r w:rsidR="00CF2FE2">
        <w:rPr>
          <w:rFonts w:ascii="Arial" w:eastAsia="Malgun Gothic" w:hAnsi="Arial" w:cs="Arial"/>
          <w:color w:val="1A1A1A"/>
          <w:kern w:val="0"/>
          <w:sz w:val="22"/>
          <w:szCs w:val="20"/>
          <w:lang w:eastAsia="en-US" w:bidi="ar-SA"/>
          <w14:ligatures w14:val="none"/>
        </w:rPr>
        <w:t xml:space="preserve">feed, for which consumer is already licensed. IPUG would like to see some improvements in this area. </w:t>
      </w:r>
    </w:p>
    <w:p w14:paraId="37512586" w14:textId="38AD0C01" w:rsidR="00CF2FE2" w:rsidRPr="008A4F13" w:rsidRDefault="00CF2FE2"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For example, if a consumer has a Data </w:t>
      </w:r>
      <w:proofErr w:type="spellStart"/>
      <w:r>
        <w:rPr>
          <w:rFonts w:ascii="Arial" w:eastAsia="Malgun Gothic" w:hAnsi="Arial" w:cs="Arial"/>
          <w:color w:val="1A1A1A"/>
          <w:kern w:val="0"/>
          <w:sz w:val="22"/>
          <w:szCs w:val="20"/>
          <w:lang w:eastAsia="en-US" w:bidi="ar-SA"/>
          <w14:ligatures w14:val="none"/>
        </w:rPr>
        <w:t>Center</w:t>
      </w:r>
      <w:proofErr w:type="spellEnd"/>
      <w:r>
        <w:rPr>
          <w:rFonts w:ascii="Arial" w:eastAsia="Malgun Gothic" w:hAnsi="Arial" w:cs="Arial"/>
          <w:color w:val="1A1A1A"/>
          <w:kern w:val="0"/>
          <w:sz w:val="22"/>
          <w:szCs w:val="20"/>
          <w:lang w:eastAsia="en-US" w:bidi="ar-SA"/>
          <w14:ligatures w14:val="none"/>
        </w:rPr>
        <w:t xml:space="preserve"> migration, where just a physical address of the data </w:t>
      </w:r>
      <w:proofErr w:type="spellStart"/>
      <w:r>
        <w:rPr>
          <w:rFonts w:ascii="Arial" w:eastAsia="Malgun Gothic" w:hAnsi="Arial" w:cs="Arial"/>
          <w:color w:val="1A1A1A"/>
          <w:kern w:val="0"/>
          <w:sz w:val="22"/>
          <w:szCs w:val="20"/>
          <w:lang w:eastAsia="en-US" w:bidi="ar-SA"/>
          <w14:ligatures w14:val="none"/>
        </w:rPr>
        <w:t>center</w:t>
      </w:r>
      <w:proofErr w:type="spellEnd"/>
      <w:r>
        <w:rPr>
          <w:rFonts w:ascii="Arial" w:eastAsia="Malgun Gothic" w:hAnsi="Arial" w:cs="Arial"/>
          <w:color w:val="1A1A1A"/>
          <w:kern w:val="0"/>
          <w:sz w:val="22"/>
          <w:szCs w:val="20"/>
          <w:lang w:eastAsia="en-US" w:bidi="ar-SA"/>
          <w14:ligatures w14:val="none"/>
        </w:rPr>
        <w:t xml:space="preserve"> is changing, a consumer is required to obtain approvals for a big number of vendues, which becomes a multi-months project with some contract change requiring for almost every single RTV.</w:t>
      </w:r>
    </w:p>
    <w:p w14:paraId="612DA181" w14:textId="6CBB14DF"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&lt;ESMA_QUESTION_CP1_31&gt;</w:t>
      </w:r>
    </w:p>
    <w:p w14:paraId="2E99CDDF"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5D7BAF17"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What are the elements which could affect prices in data provision (e.g. connectivity, volume)? Do they vary according to the use of data made by the user or the type of user? Please elaborate.</w:t>
      </w:r>
    </w:p>
    <w:p w14:paraId="6CF8DF58"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&lt;ESMA_QUESTION_CP1_32&gt;</w:t>
      </w:r>
    </w:p>
    <w:p w14:paraId="2019573F" w14:textId="4654242E" w:rsidR="00C22C22" w:rsidRPr="00CF2FE2" w:rsidRDefault="00CF2FE2" w:rsidP="0013046C">
      <w:pPr>
        <w:spacing w:after="0" w:line="276" w:lineRule="auto"/>
        <w:jc w:val="both"/>
        <w:rPr>
          <w:rFonts w:ascii="Arial" w:eastAsia="Malgun Gothic" w:hAnsi="Arial" w:cs="Arial"/>
          <w:color w:val="1A1A1A"/>
          <w:kern w:val="0"/>
          <w:sz w:val="22"/>
          <w:szCs w:val="20"/>
          <w:lang w:eastAsia="en-US" w:bidi="ar-SA"/>
          <w14:ligatures w14:val="none"/>
        </w:rPr>
      </w:pPr>
      <w:r w:rsidRPr="00CF2FE2">
        <w:rPr>
          <w:rFonts w:ascii="Arial" w:eastAsia="Malgun Gothic" w:hAnsi="Arial" w:cs="Arial"/>
          <w:color w:val="1A1A1A"/>
          <w:kern w:val="0"/>
          <w:sz w:val="22"/>
          <w:szCs w:val="20"/>
          <w:lang w:eastAsia="en-US" w:bidi="ar-SA"/>
          <w14:ligatures w14:val="none"/>
        </w:rPr>
        <w:t xml:space="preserve">IPUG welcomes removal of </w:t>
      </w:r>
      <w:r>
        <w:rPr>
          <w:rFonts w:ascii="Arial" w:eastAsia="Malgun Gothic" w:hAnsi="Arial" w:cs="Arial"/>
          <w:color w:val="1A1A1A"/>
          <w:kern w:val="0"/>
          <w:sz w:val="22"/>
          <w:szCs w:val="20"/>
          <w:lang w:eastAsia="en-US" w:bidi="ar-SA"/>
          <w14:ligatures w14:val="none"/>
        </w:rPr>
        <w:t xml:space="preserve">any statements in relation to charges based on the value market data represents to clients. IPUG notes that while adapting changes some RTVs are still benchmarking their prices with other RTVs and changing their policy based on the value the data represents to consumers. Some IPUG members </w:t>
      </w:r>
      <w:r w:rsidR="001F43D2">
        <w:rPr>
          <w:rFonts w:ascii="Arial" w:eastAsia="Malgun Gothic" w:hAnsi="Arial" w:cs="Arial"/>
          <w:color w:val="1A1A1A"/>
          <w:kern w:val="0"/>
          <w:sz w:val="22"/>
          <w:szCs w:val="20"/>
          <w:lang w:eastAsia="en-US" w:bidi="ar-SA"/>
          <w14:ligatures w14:val="none"/>
        </w:rPr>
        <w:t xml:space="preserve">stated that London Metal Exchange mentioned it on meetings while explaining their policy to consumers. </w:t>
      </w:r>
    </w:p>
    <w:p w14:paraId="7EDE88E9" w14:textId="430B35BC"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&lt;ESMA_QUESTION_CP1_32&gt;</w:t>
      </w:r>
    </w:p>
    <w:p w14:paraId="3A3747FC"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75D15367"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ESMA’s proposal on how to set up fee categories. Please justify your answer.</w:t>
      </w:r>
    </w:p>
    <w:p w14:paraId="7A7993D8"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&lt;ESMA_QUESTION_CP1_33&gt;</w:t>
      </w:r>
    </w:p>
    <w:p w14:paraId="12722CDA" w14:textId="61033985" w:rsidR="00C22C22" w:rsidRPr="00F35273" w:rsidRDefault="00F35273" w:rsidP="0013046C">
      <w:pPr>
        <w:spacing w:after="0" w:line="276" w:lineRule="auto"/>
        <w:jc w:val="both"/>
        <w:rPr>
          <w:rFonts w:ascii="Arial" w:eastAsia="Malgun Gothic" w:hAnsi="Arial" w:cs="Arial"/>
          <w:color w:val="1A1A1A"/>
          <w:kern w:val="0"/>
          <w:sz w:val="22"/>
          <w:szCs w:val="20"/>
          <w:lang w:eastAsia="en-US" w:bidi="ar-SA"/>
          <w14:ligatures w14:val="none"/>
        </w:rPr>
      </w:pPr>
      <w:r w:rsidRPr="00F35273">
        <w:rPr>
          <w:rFonts w:ascii="Arial" w:eastAsia="Malgun Gothic" w:hAnsi="Arial" w:cs="Arial"/>
          <w:color w:val="1A1A1A"/>
          <w:kern w:val="0"/>
          <w:sz w:val="22"/>
          <w:szCs w:val="20"/>
          <w:lang w:eastAsia="en-US" w:bidi="ar-SA"/>
          <w14:ligatures w14:val="none"/>
        </w:rPr>
        <w:t>IPUG comments on paragraph 238 d</w:t>
      </w:r>
      <w:r>
        <w:rPr>
          <w:rFonts w:ascii="Arial" w:eastAsia="Malgun Gothic" w:hAnsi="Arial" w:cs="Arial"/>
          <w:color w:val="1A1A1A"/>
          <w:kern w:val="0"/>
          <w:sz w:val="22"/>
          <w:szCs w:val="20"/>
          <w:lang w:eastAsia="en-US" w:bidi="ar-SA"/>
          <w14:ligatures w14:val="none"/>
        </w:rPr>
        <w:t>ifferent types of connections of channels do not necessarily equates to different types of use. This is because in some cases consumers take multiple feeds for resilience purpose</w:t>
      </w:r>
      <w:r w:rsidR="001F43D2">
        <w:rPr>
          <w:rFonts w:ascii="Arial" w:eastAsia="Malgun Gothic" w:hAnsi="Arial" w:cs="Arial"/>
          <w:color w:val="1A1A1A"/>
          <w:kern w:val="0"/>
          <w:sz w:val="22"/>
          <w:szCs w:val="20"/>
          <w:lang w:eastAsia="en-US" w:bidi="ar-SA"/>
          <w14:ligatures w14:val="none"/>
        </w:rPr>
        <w:t xml:space="preserve"> or due to a legacy set up and cost to migrate from one vendor to another</w:t>
      </w:r>
      <w:r>
        <w:rPr>
          <w:rFonts w:ascii="Arial" w:eastAsia="Malgun Gothic" w:hAnsi="Arial" w:cs="Arial"/>
          <w:color w:val="1A1A1A"/>
          <w:kern w:val="0"/>
          <w:sz w:val="22"/>
          <w:szCs w:val="20"/>
          <w:lang w:eastAsia="en-US" w:bidi="ar-SA"/>
          <w14:ligatures w14:val="none"/>
        </w:rPr>
        <w:t xml:space="preserve">. </w:t>
      </w:r>
    </w:p>
    <w:p w14:paraId="4EF8A493" w14:textId="0734DF96"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&lt;ESMA_QUESTION_CP1_33&gt;</w:t>
      </w:r>
    </w:p>
    <w:p w14:paraId="33CE80DB"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14322927"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lastRenderedPageBreak/>
        <w:t>Regarding redistribution of market data, do you agree with the analysis of ESMA? If not, please elaborate on the possible risks you identify and possible venues to mitigate these. In your response please elaborate on actual redistribution models.</w:t>
      </w:r>
    </w:p>
    <w:p w14:paraId="63617D9B"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&lt;ESMA_QUESTION_CP1_34&gt;</w:t>
      </w:r>
    </w:p>
    <w:p w14:paraId="4F8B579B" w14:textId="12CD1EE9" w:rsidR="00C22C22" w:rsidRPr="00B07A53" w:rsidRDefault="000A0A5D" w:rsidP="0013046C">
      <w:pPr>
        <w:spacing w:after="0" w:line="276" w:lineRule="auto"/>
        <w:jc w:val="both"/>
        <w:rPr>
          <w:rFonts w:ascii="Arial" w:eastAsia="Malgun Gothic" w:hAnsi="Arial" w:cs="Arial"/>
          <w:color w:val="1A1A1A"/>
          <w:kern w:val="0"/>
          <w:sz w:val="22"/>
          <w:szCs w:val="20"/>
          <w:lang w:eastAsia="en-US" w:bidi="ar-SA"/>
          <w14:ligatures w14:val="none"/>
        </w:rPr>
      </w:pPr>
      <w:r w:rsidRPr="00B07A53">
        <w:rPr>
          <w:rFonts w:ascii="Arial" w:eastAsia="Malgun Gothic" w:hAnsi="Arial" w:cs="Arial"/>
          <w:color w:val="1A1A1A"/>
          <w:kern w:val="0"/>
          <w:sz w:val="22"/>
          <w:szCs w:val="20"/>
          <w:lang w:eastAsia="en-US" w:bidi="ar-SA"/>
          <w14:ligatures w14:val="none"/>
        </w:rPr>
        <w:t xml:space="preserve">IPUG </w:t>
      </w:r>
      <w:r w:rsidR="00B07A53" w:rsidRPr="00B07A53">
        <w:rPr>
          <w:rFonts w:ascii="Arial" w:eastAsia="Malgun Gothic" w:hAnsi="Arial" w:cs="Arial"/>
          <w:color w:val="1A1A1A"/>
          <w:kern w:val="0"/>
          <w:sz w:val="22"/>
          <w:szCs w:val="20"/>
          <w:lang w:eastAsia="en-US" w:bidi="ar-SA"/>
          <w14:ligatures w14:val="none"/>
        </w:rPr>
        <w:t>members would like t</w:t>
      </w:r>
      <w:r w:rsidR="00B07A53">
        <w:rPr>
          <w:rFonts w:ascii="Arial" w:eastAsia="Malgun Gothic" w:hAnsi="Arial" w:cs="Arial"/>
          <w:color w:val="1A1A1A"/>
          <w:kern w:val="0"/>
          <w:sz w:val="22"/>
          <w:szCs w:val="20"/>
          <w:lang w:eastAsia="en-US" w:bidi="ar-SA"/>
          <w14:ligatures w14:val="none"/>
        </w:rPr>
        <w:t xml:space="preserve">o note that redistributors equally contribute to the </w:t>
      </w:r>
      <w:r w:rsidR="00336B32">
        <w:rPr>
          <w:rFonts w:ascii="Arial" w:eastAsia="Malgun Gothic" w:hAnsi="Arial" w:cs="Arial"/>
          <w:color w:val="1A1A1A"/>
          <w:kern w:val="0"/>
          <w:sz w:val="22"/>
          <w:szCs w:val="20"/>
          <w:lang w:eastAsia="en-US" w:bidi="ar-SA"/>
          <w14:ligatures w14:val="none"/>
        </w:rPr>
        <w:t xml:space="preserve">cost recovery. Redistributors are charged flat fee for the ability to be redistributor and they pay display fees for each end user access either directly to RTV or </w:t>
      </w:r>
      <w:r w:rsidR="00B718D6">
        <w:rPr>
          <w:rFonts w:ascii="Arial" w:eastAsia="Malgun Gothic" w:hAnsi="Arial" w:cs="Arial"/>
          <w:color w:val="1A1A1A"/>
          <w:kern w:val="0"/>
          <w:sz w:val="22"/>
          <w:szCs w:val="20"/>
          <w:lang w:eastAsia="en-US" w:bidi="ar-SA"/>
          <w14:ligatures w14:val="none"/>
        </w:rPr>
        <w:t xml:space="preserve">an end client pays the fees to RTVs (if a per user netting agreement is in place). </w:t>
      </w:r>
      <w:r w:rsidR="001F43D2">
        <w:rPr>
          <w:rFonts w:ascii="Arial" w:eastAsia="Malgun Gothic" w:hAnsi="Arial" w:cs="Arial"/>
          <w:color w:val="1A1A1A"/>
          <w:kern w:val="0"/>
          <w:sz w:val="22"/>
          <w:szCs w:val="20"/>
          <w:lang w:eastAsia="en-US" w:bidi="ar-SA"/>
          <w14:ligatures w14:val="none"/>
        </w:rPr>
        <w:t xml:space="preserve">IPUG recommends to standardise redistribution policies. </w:t>
      </w:r>
      <w:r w:rsidR="007B5C80">
        <w:rPr>
          <w:rFonts w:ascii="Arial" w:eastAsia="Malgun Gothic" w:hAnsi="Arial" w:cs="Arial"/>
          <w:color w:val="1A1A1A"/>
          <w:kern w:val="0"/>
          <w:sz w:val="22"/>
          <w:szCs w:val="20"/>
          <w:lang w:eastAsia="en-US" w:bidi="ar-SA"/>
          <w14:ligatures w14:val="none"/>
        </w:rPr>
        <w:t xml:space="preserve">For example, </w:t>
      </w:r>
      <w:r w:rsidR="00032A11">
        <w:rPr>
          <w:rFonts w:ascii="Arial" w:eastAsia="Malgun Gothic" w:hAnsi="Arial" w:cs="Arial"/>
          <w:color w:val="1A1A1A"/>
          <w:kern w:val="0"/>
          <w:sz w:val="22"/>
          <w:szCs w:val="20"/>
          <w:lang w:eastAsia="en-US" w:bidi="ar-SA"/>
          <w14:ligatures w14:val="none"/>
        </w:rPr>
        <w:t xml:space="preserve">real-time </w:t>
      </w:r>
      <w:r w:rsidR="007B5C80">
        <w:rPr>
          <w:rFonts w:ascii="Arial" w:eastAsia="Malgun Gothic" w:hAnsi="Arial" w:cs="Arial"/>
          <w:color w:val="1A1A1A"/>
          <w:kern w:val="0"/>
          <w:sz w:val="22"/>
          <w:szCs w:val="20"/>
          <w:lang w:eastAsia="en-US" w:bidi="ar-SA"/>
          <w14:ligatures w14:val="none"/>
        </w:rPr>
        <w:t xml:space="preserve">redistribution </w:t>
      </w:r>
      <w:r w:rsidR="00032A11">
        <w:rPr>
          <w:rFonts w:ascii="Arial" w:eastAsia="Malgun Gothic" w:hAnsi="Arial" w:cs="Arial"/>
          <w:color w:val="1A1A1A"/>
          <w:kern w:val="0"/>
          <w:sz w:val="22"/>
          <w:szCs w:val="20"/>
          <w:lang w:eastAsia="en-US" w:bidi="ar-SA"/>
          <w14:ligatures w14:val="none"/>
        </w:rPr>
        <w:t>for professional users. po</w:t>
      </w:r>
      <w:r w:rsidR="007B5C80">
        <w:rPr>
          <w:rFonts w:ascii="Arial" w:eastAsia="Malgun Gothic" w:hAnsi="Arial" w:cs="Arial"/>
          <w:color w:val="1A1A1A"/>
          <w:kern w:val="0"/>
          <w:sz w:val="22"/>
          <w:szCs w:val="20"/>
          <w:lang w:eastAsia="en-US" w:bidi="ar-SA"/>
          <w14:ligatures w14:val="none"/>
        </w:rPr>
        <w:t>licy for non-professional user</w:t>
      </w:r>
      <w:r w:rsidR="00032A11">
        <w:rPr>
          <w:rFonts w:ascii="Arial" w:eastAsia="Malgun Gothic" w:hAnsi="Arial" w:cs="Arial"/>
          <w:color w:val="1A1A1A"/>
          <w:kern w:val="0"/>
          <w:sz w:val="22"/>
          <w:szCs w:val="20"/>
          <w:lang w:eastAsia="en-US" w:bidi="ar-SA"/>
          <w14:ligatures w14:val="none"/>
        </w:rPr>
        <w:t>s</w:t>
      </w:r>
      <w:r w:rsidR="007B5C80">
        <w:rPr>
          <w:rFonts w:ascii="Arial" w:eastAsia="Malgun Gothic" w:hAnsi="Arial" w:cs="Arial"/>
          <w:color w:val="1A1A1A"/>
          <w:kern w:val="0"/>
          <w:sz w:val="22"/>
          <w:szCs w:val="20"/>
          <w:lang w:eastAsia="en-US" w:bidi="ar-SA"/>
          <w14:ligatures w14:val="none"/>
        </w:rPr>
        <w:t xml:space="preserve">, redistribution via </w:t>
      </w:r>
      <w:r w:rsidR="0013485D">
        <w:rPr>
          <w:rFonts w:ascii="Arial" w:eastAsia="Malgun Gothic" w:hAnsi="Arial" w:cs="Arial"/>
          <w:color w:val="1A1A1A"/>
          <w:kern w:val="0"/>
          <w:sz w:val="22"/>
          <w:szCs w:val="20"/>
          <w:lang w:eastAsia="en-US" w:bidi="ar-SA"/>
          <w14:ligatures w14:val="none"/>
        </w:rPr>
        <w:t xml:space="preserve">a </w:t>
      </w:r>
      <w:r w:rsidR="007B5C80">
        <w:rPr>
          <w:rFonts w:ascii="Arial" w:eastAsia="Malgun Gothic" w:hAnsi="Arial" w:cs="Arial"/>
          <w:color w:val="1A1A1A"/>
          <w:kern w:val="0"/>
          <w:sz w:val="22"/>
          <w:szCs w:val="20"/>
          <w:lang w:eastAsia="en-US" w:bidi="ar-SA"/>
          <w14:ligatures w14:val="none"/>
        </w:rPr>
        <w:t>public website, controlled redistribution either via web or mobile application for professional users</w:t>
      </w:r>
    </w:p>
    <w:p w14:paraId="17305E83" w14:textId="412F52E1"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&lt;ESMA_QUESTION_CP1_34&gt;</w:t>
      </w:r>
    </w:p>
    <w:p w14:paraId="35A689E7"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5105333E"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Are there any other terms and conditions in market data agreements beyond the ones listed in this section which you perceive to be biased and/or unfair? If yes, please list them and elaborate your answer.</w:t>
      </w:r>
    </w:p>
    <w:p w14:paraId="4F8BA092"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&lt;ESMA_QUESTION_CP1_35&gt;</w:t>
      </w:r>
    </w:p>
    <w:p w14:paraId="3B189887" w14:textId="77777777" w:rsidR="0013485D" w:rsidRDefault="007F6DED"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IPUG members note that there is a rise of derived data policies. Derived data was previously included in Other Application non-display usage, but there are more instances where it is </w:t>
      </w:r>
      <w:r w:rsidR="0013485D">
        <w:rPr>
          <w:rFonts w:ascii="Arial" w:eastAsia="Malgun Gothic" w:hAnsi="Arial" w:cs="Arial"/>
          <w:color w:val="1A1A1A"/>
          <w:kern w:val="0"/>
          <w:sz w:val="22"/>
          <w:szCs w:val="20"/>
          <w:lang w:eastAsia="en-US" w:bidi="ar-SA"/>
          <w14:ligatures w14:val="none"/>
        </w:rPr>
        <w:t>separated,</w:t>
      </w:r>
      <w:r>
        <w:rPr>
          <w:rFonts w:ascii="Arial" w:eastAsia="Malgun Gothic" w:hAnsi="Arial" w:cs="Arial"/>
          <w:color w:val="1A1A1A"/>
          <w:kern w:val="0"/>
          <w:sz w:val="22"/>
          <w:szCs w:val="20"/>
          <w:lang w:eastAsia="en-US" w:bidi="ar-SA"/>
          <w14:ligatures w14:val="none"/>
        </w:rPr>
        <w:t xml:space="preserve"> and the charges apply for derived data external distribution. </w:t>
      </w:r>
    </w:p>
    <w:p w14:paraId="0FB3CBE0" w14:textId="560887E5" w:rsidR="00C22C22" w:rsidRDefault="001F3712"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For example, Euronext started charging fees for </w:t>
      </w:r>
      <w:r w:rsidR="00667626">
        <w:rPr>
          <w:rFonts w:ascii="Arial" w:eastAsia="Malgun Gothic" w:hAnsi="Arial" w:cs="Arial"/>
          <w:color w:val="1A1A1A"/>
          <w:kern w:val="0"/>
          <w:sz w:val="22"/>
          <w:szCs w:val="20"/>
          <w:lang w:eastAsia="en-US" w:bidi="ar-SA"/>
          <w14:ligatures w14:val="none"/>
        </w:rPr>
        <w:t>Redistribution</w:t>
      </w:r>
      <w:r w:rsidR="00A05EF3">
        <w:rPr>
          <w:rFonts w:ascii="Arial" w:eastAsia="Malgun Gothic" w:hAnsi="Arial" w:cs="Arial"/>
          <w:color w:val="1A1A1A"/>
          <w:kern w:val="0"/>
          <w:sz w:val="22"/>
          <w:szCs w:val="20"/>
          <w:lang w:eastAsia="en-US" w:bidi="ar-SA"/>
          <w14:ligatures w14:val="none"/>
        </w:rPr>
        <w:t xml:space="preserve"> of Original </w:t>
      </w:r>
      <w:r w:rsidR="00B1240A">
        <w:rPr>
          <w:rFonts w:ascii="Arial" w:eastAsia="Malgun Gothic" w:hAnsi="Arial" w:cs="Arial"/>
          <w:color w:val="1A1A1A"/>
          <w:kern w:val="0"/>
          <w:sz w:val="22"/>
          <w:szCs w:val="20"/>
          <w:lang w:eastAsia="en-US" w:bidi="ar-SA"/>
          <w14:ligatures w14:val="none"/>
        </w:rPr>
        <w:t xml:space="preserve">created </w:t>
      </w:r>
      <w:r w:rsidR="00A05EF3">
        <w:rPr>
          <w:rFonts w:ascii="Arial" w:eastAsia="Malgun Gothic" w:hAnsi="Arial" w:cs="Arial"/>
          <w:color w:val="1A1A1A"/>
          <w:kern w:val="0"/>
          <w:sz w:val="22"/>
          <w:szCs w:val="20"/>
          <w:lang w:eastAsia="en-US" w:bidi="ar-SA"/>
          <w14:ligatures w14:val="none"/>
        </w:rPr>
        <w:t xml:space="preserve">Works Other. </w:t>
      </w:r>
      <w:r w:rsidR="00667626">
        <w:rPr>
          <w:rFonts w:ascii="Arial" w:eastAsia="Malgun Gothic" w:hAnsi="Arial" w:cs="Arial"/>
          <w:color w:val="1A1A1A"/>
          <w:kern w:val="0"/>
          <w:sz w:val="22"/>
          <w:szCs w:val="20"/>
          <w:lang w:eastAsia="en-US" w:bidi="ar-SA"/>
          <w14:ligatures w14:val="none"/>
        </w:rPr>
        <w:t xml:space="preserve">Euronext has 4 </w:t>
      </w:r>
      <w:r w:rsidR="0013485D">
        <w:rPr>
          <w:rFonts w:ascii="Arial" w:eastAsia="Malgun Gothic" w:hAnsi="Arial" w:cs="Arial"/>
          <w:color w:val="1A1A1A"/>
          <w:kern w:val="0"/>
          <w:sz w:val="22"/>
          <w:szCs w:val="20"/>
          <w:lang w:eastAsia="en-US" w:bidi="ar-SA"/>
          <w14:ligatures w14:val="none"/>
        </w:rPr>
        <w:t>non-display</w:t>
      </w:r>
      <w:r w:rsidR="00667626">
        <w:rPr>
          <w:rFonts w:ascii="Arial" w:eastAsia="Malgun Gothic" w:hAnsi="Arial" w:cs="Arial"/>
          <w:color w:val="1A1A1A"/>
          <w:kern w:val="0"/>
          <w:sz w:val="22"/>
          <w:szCs w:val="20"/>
          <w:lang w:eastAsia="en-US" w:bidi="ar-SA"/>
          <w14:ligatures w14:val="none"/>
        </w:rPr>
        <w:t xml:space="preserve"> categories and 4 derived data categories, in </w:t>
      </w:r>
      <w:r w:rsidR="00B1240A">
        <w:rPr>
          <w:rFonts w:ascii="Arial" w:eastAsia="Malgun Gothic" w:hAnsi="Arial" w:cs="Arial"/>
          <w:color w:val="1A1A1A"/>
          <w:kern w:val="0"/>
          <w:sz w:val="22"/>
          <w:szCs w:val="20"/>
          <w:lang w:eastAsia="en-US" w:bidi="ar-SA"/>
          <w14:ligatures w14:val="none"/>
        </w:rPr>
        <w:t>practical</w:t>
      </w:r>
      <w:r w:rsidR="00667626">
        <w:rPr>
          <w:rFonts w:ascii="Arial" w:eastAsia="Malgun Gothic" w:hAnsi="Arial" w:cs="Arial"/>
          <w:color w:val="1A1A1A"/>
          <w:kern w:val="0"/>
          <w:sz w:val="22"/>
          <w:szCs w:val="20"/>
          <w:lang w:eastAsia="en-US" w:bidi="ar-SA"/>
          <w14:ligatures w14:val="none"/>
        </w:rPr>
        <w:t xml:space="preserve"> terms this means that Euronext has 8 different non-display categories which are difficult for </w:t>
      </w:r>
      <w:r w:rsidR="00B1240A">
        <w:rPr>
          <w:rFonts w:ascii="Arial" w:eastAsia="Malgun Gothic" w:hAnsi="Arial" w:cs="Arial"/>
          <w:color w:val="1A1A1A"/>
          <w:kern w:val="0"/>
          <w:sz w:val="22"/>
          <w:szCs w:val="20"/>
          <w:lang w:eastAsia="en-US" w:bidi="ar-SA"/>
          <w14:ligatures w14:val="none"/>
        </w:rPr>
        <w:t>customers</w:t>
      </w:r>
      <w:r w:rsidR="00667626">
        <w:rPr>
          <w:rFonts w:ascii="Arial" w:eastAsia="Malgun Gothic" w:hAnsi="Arial" w:cs="Arial"/>
          <w:color w:val="1A1A1A"/>
          <w:kern w:val="0"/>
          <w:sz w:val="22"/>
          <w:szCs w:val="20"/>
          <w:lang w:eastAsia="en-US" w:bidi="ar-SA"/>
          <w14:ligatures w14:val="none"/>
        </w:rPr>
        <w:t xml:space="preserve"> to navigate and very expensive to use. </w:t>
      </w:r>
    </w:p>
    <w:p w14:paraId="34A8045E" w14:textId="21862D4F" w:rsidR="00667626" w:rsidRPr="00B1240A" w:rsidRDefault="00667626" w:rsidP="0013046C">
      <w:pPr>
        <w:spacing w:after="0" w:line="276" w:lineRule="auto"/>
        <w:jc w:val="both"/>
        <w:rPr>
          <w:rFonts w:ascii="Arial" w:eastAsia="Malgun Gothic" w:hAnsi="Arial" w:cs="Arial"/>
          <w:color w:val="1A1A1A"/>
          <w:kern w:val="0"/>
          <w:sz w:val="22"/>
          <w:szCs w:val="20"/>
          <w:lang w:eastAsia="en-US" w:bidi="ar-SA"/>
          <w14:ligatures w14:val="none"/>
        </w:rPr>
      </w:pPr>
      <w:r w:rsidRPr="00B1240A">
        <w:rPr>
          <w:rFonts w:ascii="Arial" w:eastAsia="Malgun Gothic" w:hAnsi="Arial" w:cs="Arial"/>
          <w:color w:val="1A1A1A"/>
          <w:kern w:val="0"/>
          <w:sz w:val="22"/>
          <w:szCs w:val="20"/>
          <w:lang w:eastAsia="en-US" w:bidi="ar-SA"/>
          <w14:ligatures w14:val="none"/>
        </w:rPr>
        <w:t xml:space="preserve">As a </w:t>
      </w:r>
      <w:r w:rsidR="00B1240A" w:rsidRPr="00B1240A">
        <w:rPr>
          <w:rFonts w:ascii="Arial" w:eastAsia="Malgun Gothic" w:hAnsi="Arial" w:cs="Arial"/>
          <w:color w:val="1A1A1A"/>
          <w:kern w:val="0"/>
          <w:sz w:val="22"/>
          <w:szCs w:val="20"/>
          <w:lang w:eastAsia="en-US" w:bidi="ar-SA"/>
          <w14:ligatures w14:val="none"/>
        </w:rPr>
        <w:t>result</w:t>
      </w:r>
      <w:r w:rsidRPr="00B1240A">
        <w:rPr>
          <w:rFonts w:ascii="Arial" w:eastAsia="Malgun Gothic" w:hAnsi="Arial" w:cs="Arial"/>
          <w:color w:val="1A1A1A"/>
          <w:kern w:val="0"/>
          <w:sz w:val="22"/>
          <w:szCs w:val="20"/>
          <w:lang w:eastAsia="en-US" w:bidi="ar-SA"/>
          <w14:ligatures w14:val="none"/>
        </w:rPr>
        <w:t xml:space="preserve"> </w:t>
      </w:r>
      <w:r w:rsidR="00B1240A">
        <w:rPr>
          <w:rFonts w:ascii="Arial" w:eastAsia="Malgun Gothic" w:hAnsi="Arial" w:cs="Arial"/>
          <w:color w:val="1A1A1A"/>
          <w:kern w:val="0"/>
          <w:sz w:val="22"/>
          <w:szCs w:val="20"/>
          <w:lang w:eastAsia="en-US" w:bidi="ar-SA"/>
          <w14:ligatures w14:val="none"/>
        </w:rPr>
        <w:t>o</w:t>
      </w:r>
      <w:r w:rsidRPr="00B1240A">
        <w:rPr>
          <w:rFonts w:ascii="Arial" w:eastAsia="Malgun Gothic" w:hAnsi="Arial" w:cs="Arial"/>
          <w:color w:val="1A1A1A"/>
          <w:kern w:val="0"/>
          <w:sz w:val="22"/>
          <w:szCs w:val="20"/>
          <w:lang w:eastAsia="en-US" w:bidi="ar-SA"/>
          <w14:ligatures w14:val="none"/>
        </w:rPr>
        <w:t xml:space="preserve">f </w:t>
      </w:r>
      <w:r w:rsidR="00B1240A" w:rsidRPr="00B1240A">
        <w:rPr>
          <w:rFonts w:ascii="Arial" w:eastAsia="Malgun Gothic" w:hAnsi="Arial" w:cs="Arial"/>
          <w:color w:val="1A1A1A"/>
          <w:kern w:val="0"/>
          <w:sz w:val="22"/>
          <w:szCs w:val="20"/>
          <w:lang w:eastAsia="en-US" w:bidi="ar-SA"/>
          <w14:ligatures w14:val="none"/>
        </w:rPr>
        <w:t>Redistribution of Original Created Works: Other</w:t>
      </w:r>
      <w:r w:rsidR="00B1240A">
        <w:rPr>
          <w:rFonts w:ascii="Arial" w:eastAsia="Malgun Gothic" w:hAnsi="Arial" w:cs="Arial"/>
          <w:color w:val="1A1A1A"/>
          <w:kern w:val="0"/>
          <w:sz w:val="22"/>
          <w:szCs w:val="20"/>
          <w:lang w:eastAsia="en-US" w:bidi="ar-SA"/>
          <w14:ligatures w14:val="none"/>
        </w:rPr>
        <w:t xml:space="preserve"> category becoming fee liable a simple Post Trade application use case for client portfolio management application incurs a </w:t>
      </w:r>
      <w:r w:rsidR="0013485D">
        <w:rPr>
          <w:rFonts w:ascii="Arial" w:eastAsia="Malgun Gothic" w:hAnsi="Arial" w:cs="Arial"/>
          <w:color w:val="1A1A1A"/>
          <w:kern w:val="0"/>
          <w:sz w:val="22"/>
          <w:szCs w:val="20"/>
          <w:lang w:eastAsia="en-US" w:bidi="ar-SA"/>
          <w14:ligatures w14:val="none"/>
        </w:rPr>
        <w:t>significantly higher fee ,then it was under Other application usage.</w:t>
      </w:r>
      <w:r w:rsidR="00B1240A">
        <w:rPr>
          <w:rFonts w:ascii="Arial" w:eastAsia="Malgun Gothic" w:hAnsi="Arial" w:cs="Arial"/>
          <w:color w:val="1A1A1A"/>
          <w:kern w:val="0"/>
          <w:sz w:val="22"/>
          <w:szCs w:val="20"/>
          <w:lang w:eastAsia="en-US" w:bidi="ar-SA"/>
          <w14:ligatures w14:val="none"/>
        </w:rPr>
        <w:t xml:space="preserve"> </w:t>
      </w:r>
    </w:p>
    <w:p w14:paraId="0BC931A4" w14:textId="2FACB54B" w:rsidR="0013046C" w:rsidRPr="00764356"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764356">
        <w:rPr>
          <w:rFonts w:ascii="Arial" w:eastAsia="Malgun Gothic" w:hAnsi="Arial" w:cs="Arial"/>
          <w:color w:val="1A1A1A"/>
          <w:kern w:val="0"/>
          <w:sz w:val="22"/>
          <w:szCs w:val="20"/>
          <w:lang w:eastAsia="en-US" w:bidi="ar-SA"/>
          <w14:ligatures w14:val="none"/>
        </w:rPr>
        <w:t>&lt;ESMA_QUESTION_CP1_35&gt;</w:t>
      </w:r>
    </w:p>
    <w:p w14:paraId="40821F38" w14:textId="77777777" w:rsidR="0013046C" w:rsidRPr="00764356"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5AF47B7D"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Please provide your view on ESMA’s proposal in respect to (</w:t>
      </w:r>
      <w:proofErr w:type="spellStart"/>
      <w:r w:rsidRPr="0013046C">
        <w:rPr>
          <w:rFonts w:ascii="Arial" w:eastAsia="Malgun Gothic" w:hAnsi="Arial" w:cs="Arial"/>
          <w:b/>
          <w:color w:val="1A1A1A"/>
          <w:kern w:val="0"/>
          <w:sz w:val="22"/>
          <w:szCs w:val="22"/>
          <w:lang w:eastAsia="en-US" w:bidi="ar-SA"/>
          <w14:ligatures w14:val="none"/>
        </w:rPr>
        <w:t>i</w:t>
      </w:r>
      <w:proofErr w:type="spellEnd"/>
      <w:r w:rsidRPr="0013046C">
        <w:rPr>
          <w:rFonts w:ascii="Arial" w:eastAsia="Malgun Gothic" w:hAnsi="Arial" w:cs="Arial"/>
          <w:b/>
          <w:color w:val="1A1A1A"/>
          <w:kern w:val="0"/>
          <w:sz w:val="22"/>
          <w:szCs w:val="22"/>
          <w:lang w:eastAsia="en-US" w:bidi="ar-SA"/>
          <w14:ligatures w14:val="none"/>
        </w:rPr>
        <w:t>) the obligation to provide pre-contractual information, (ii) general principle on fair terms, (iii) the language of the market data agreement, (iv) the market data agreement conformity with published policies and (v) the provision on fees and additional costs.</w:t>
      </w:r>
    </w:p>
    <w:p w14:paraId="70324392" w14:textId="77777777" w:rsid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&lt;ESMA_QUESTION_CP1_36&gt;</w:t>
      </w:r>
    </w:p>
    <w:p w14:paraId="1F0554B8" w14:textId="77777777" w:rsidR="0013485D" w:rsidRDefault="00C536A0" w:rsidP="0013046C">
      <w:pPr>
        <w:spacing w:after="0" w:line="276" w:lineRule="auto"/>
        <w:jc w:val="both"/>
        <w:rPr>
          <w:rFonts w:ascii="Arial" w:eastAsia="Malgun Gothic" w:hAnsi="Arial" w:cs="Arial"/>
          <w:color w:val="1A1A1A"/>
          <w:kern w:val="0"/>
          <w:sz w:val="22"/>
          <w:szCs w:val="20"/>
          <w:lang w:eastAsia="en-US" w:bidi="ar-SA"/>
          <w14:ligatures w14:val="none"/>
        </w:rPr>
      </w:pPr>
      <w:r w:rsidRPr="00C536A0">
        <w:rPr>
          <w:rFonts w:ascii="Arial" w:eastAsia="Malgun Gothic" w:hAnsi="Arial" w:cs="Arial"/>
          <w:color w:val="1A1A1A"/>
          <w:kern w:val="0"/>
          <w:sz w:val="22"/>
          <w:szCs w:val="20"/>
          <w:lang w:eastAsia="en-US" w:bidi="ar-SA"/>
          <w14:ligatures w14:val="none"/>
        </w:rPr>
        <w:t xml:space="preserve">IPUG requests </w:t>
      </w:r>
      <w:r w:rsidR="0013485D">
        <w:rPr>
          <w:rFonts w:ascii="Arial" w:eastAsia="Malgun Gothic" w:hAnsi="Arial" w:cs="Arial"/>
          <w:color w:val="1A1A1A"/>
          <w:kern w:val="0"/>
          <w:sz w:val="22"/>
          <w:szCs w:val="20"/>
          <w:lang w:eastAsia="en-US" w:bidi="ar-SA"/>
          <w14:ligatures w14:val="none"/>
        </w:rPr>
        <w:t>t</w:t>
      </w:r>
      <w:r w:rsidRPr="00C536A0">
        <w:rPr>
          <w:rFonts w:ascii="Arial" w:eastAsia="Malgun Gothic" w:hAnsi="Arial" w:cs="Arial"/>
          <w:color w:val="1A1A1A"/>
          <w:kern w:val="0"/>
          <w:sz w:val="22"/>
          <w:szCs w:val="20"/>
          <w:lang w:eastAsia="en-US" w:bidi="ar-SA"/>
          <w14:ligatures w14:val="none"/>
        </w:rPr>
        <w:t>o exte</w:t>
      </w:r>
      <w:r>
        <w:rPr>
          <w:rFonts w:ascii="Arial" w:eastAsia="Malgun Gothic" w:hAnsi="Arial" w:cs="Arial"/>
          <w:color w:val="1A1A1A"/>
          <w:kern w:val="0"/>
          <w:sz w:val="22"/>
          <w:szCs w:val="20"/>
          <w:lang w:eastAsia="en-US" w:bidi="ar-SA"/>
          <w14:ligatures w14:val="none"/>
        </w:rPr>
        <w:t xml:space="preserve">nd proposed 60 days notification timeline on </w:t>
      </w:r>
      <w:r w:rsidR="0013485D">
        <w:rPr>
          <w:rFonts w:ascii="Arial" w:eastAsia="Malgun Gothic" w:hAnsi="Arial" w:cs="Arial"/>
          <w:color w:val="1A1A1A"/>
          <w:kern w:val="0"/>
          <w:sz w:val="22"/>
          <w:szCs w:val="20"/>
          <w:lang w:eastAsia="en-US" w:bidi="ar-SA"/>
          <w14:ligatures w14:val="none"/>
        </w:rPr>
        <w:t>amendments</w:t>
      </w:r>
      <w:r w:rsidR="00CA223F">
        <w:rPr>
          <w:rFonts w:ascii="Arial" w:eastAsia="Malgun Gothic" w:hAnsi="Arial" w:cs="Arial"/>
          <w:color w:val="1A1A1A"/>
          <w:kern w:val="0"/>
          <w:sz w:val="22"/>
          <w:szCs w:val="20"/>
          <w:lang w:eastAsia="en-US" w:bidi="ar-SA"/>
          <w14:ligatures w14:val="none"/>
        </w:rPr>
        <w:t xml:space="preserve"> to the agreements to 90 days. IPUG members note that polic</w:t>
      </w:r>
      <w:r w:rsidR="0013485D">
        <w:rPr>
          <w:rFonts w:ascii="Arial" w:eastAsia="Malgun Gothic" w:hAnsi="Arial" w:cs="Arial"/>
          <w:color w:val="1A1A1A"/>
          <w:kern w:val="0"/>
          <w:sz w:val="22"/>
          <w:szCs w:val="20"/>
          <w:lang w:eastAsia="en-US" w:bidi="ar-SA"/>
          <w14:ligatures w14:val="none"/>
        </w:rPr>
        <w:t>y changes</w:t>
      </w:r>
      <w:r w:rsidR="00CA223F">
        <w:rPr>
          <w:rFonts w:ascii="Arial" w:eastAsia="Malgun Gothic" w:hAnsi="Arial" w:cs="Arial"/>
          <w:color w:val="1A1A1A"/>
          <w:kern w:val="0"/>
          <w:sz w:val="22"/>
          <w:szCs w:val="20"/>
          <w:lang w:eastAsia="en-US" w:bidi="ar-SA"/>
          <w14:ligatures w14:val="none"/>
        </w:rPr>
        <w:t xml:space="preserve"> do not immediately reach consumers, as in some cases they are distributed via market data vendor and there is a delay </w:t>
      </w:r>
      <w:r w:rsidR="00184907">
        <w:rPr>
          <w:rFonts w:ascii="Arial" w:eastAsia="Malgun Gothic" w:hAnsi="Arial" w:cs="Arial"/>
          <w:color w:val="1A1A1A"/>
          <w:kern w:val="0"/>
          <w:sz w:val="22"/>
          <w:szCs w:val="20"/>
          <w:lang w:eastAsia="en-US" w:bidi="ar-SA"/>
          <w14:ligatures w14:val="none"/>
        </w:rPr>
        <w:t xml:space="preserve">between the time when exchange announces the policy and consumer is notified. </w:t>
      </w:r>
    </w:p>
    <w:p w14:paraId="684E6AD9" w14:textId="77777777" w:rsidR="0013485D" w:rsidRDefault="00184907" w:rsidP="0013485D">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It should be noted that consumers are not able to continuously monitor RTVs websites and RTV</w:t>
      </w:r>
      <w:r w:rsidR="0013485D">
        <w:rPr>
          <w:rFonts w:ascii="Arial" w:eastAsia="Malgun Gothic" w:hAnsi="Arial" w:cs="Arial"/>
          <w:color w:val="1A1A1A"/>
          <w:kern w:val="0"/>
          <w:sz w:val="22"/>
          <w:szCs w:val="20"/>
          <w:lang w:eastAsia="en-US" w:bidi="ar-SA"/>
          <w14:ligatures w14:val="none"/>
        </w:rPr>
        <w:t>s should</w:t>
      </w:r>
      <w:r>
        <w:rPr>
          <w:rFonts w:ascii="Arial" w:eastAsia="Malgun Gothic" w:hAnsi="Arial" w:cs="Arial"/>
          <w:color w:val="1A1A1A"/>
          <w:kern w:val="0"/>
          <w:sz w:val="22"/>
          <w:szCs w:val="20"/>
          <w:lang w:eastAsia="en-US" w:bidi="ar-SA"/>
          <w14:ligatures w14:val="none"/>
        </w:rPr>
        <w:t xml:space="preserve"> notify consumer about the change and give consumer </w:t>
      </w:r>
      <w:r w:rsidR="0013485D">
        <w:rPr>
          <w:rFonts w:ascii="Arial" w:eastAsia="Malgun Gothic" w:hAnsi="Arial" w:cs="Arial"/>
          <w:color w:val="1A1A1A"/>
          <w:kern w:val="0"/>
          <w:sz w:val="22"/>
          <w:szCs w:val="20"/>
          <w:lang w:eastAsia="en-US" w:bidi="ar-SA"/>
          <w14:ligatures w14:val="none"/>
        </w:rPr>
        <w:t>sufficient</w:t>
      </w:r>
      <w:r>
        <w:rPr>
          <w:rFonts w:ascii="Arial" w:eastAsia="Malgun Gothic" w:hAnsi="Arial" w:cs="Arial"/>
          <w:color w:val="1A1A1A"/>
          <w:kern w:val="0"/>
          <w:sz w:val="22"/>
          <w:szCs w:val="20"/>
          <w:lang w:eastAsia="en-US" w:bidi="ar-SA"/>
          <w14:ligatures w14:val="none"/>
        </w:rPr>
        <w:t xml:space="preserve"> time of 90 days to analyse the impact. </w:t>
      </w:r>
    </w:p>
    <w:p w14:paraId="3D91413E" w14:textId="4539B86C" w:rsidR="00C536A0" w:rsidRDefault="00184907" w:rsidP="0013485D">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lastRenderedPageBreak/>
        <w:t xml:space="preserve">Proposed 60 days </w:t>
      </w:r>
      <w:r w:rsidR="0013485D">
        <w:rPr>
          <w:rFonts w:ascii="Arial" w:eastAsia="Malgun Gothic" w:hAnsi="Arial" w:cs="Arial"/>
          <w:color w:val="1A1A1A"/>
          <w:kern w:val="0"/>
          <w:sz w:val="22"/>
          <w:szCs w:val="20"/>
          <w:lang w:eastAsia="en-US" w:bidi="ar-SA"/>
          <w14:ligatures w14:val="none"/>
        </w:rPr>
        <w:t>is not</w:t>
      </w:r>
      <w:r>
        <w:rPr>
          <w:rFonts w:ascii="Arial" w:eastAsia="Malgun Gothic" w:hAnsi="Arial" w:cs="Arial"/>
          <w:color w:val="1A1A1A"/>
          <w:kern w:val="0"/>
          <w:sz w:val="22"/>
          <w:szCs w:val="20"/>
          <w:lang w:eastAsia="en-US" w:bidi="ar-SA"/>
          <w14:ligatures w14:val="none"/>
        </w:rPr>
        <w:t xml:space="preserve"> enough, especially considering that usually RTV make changes at the same time (towards the end of the year, for policy to be effective 1</w:t>
      </w:r>
      <w:r w:rsidRPr="00184907">
        <w:rPr>
          <w:rFonts w:ascii="Arial" w:eastAsia="Malgun Gothic" w:hAnsi="Arial" w:cs="Arial"/>
          <w:color w:val="1A1A1A"/>
          <w:kern w:val="0"/>
          <w:sz w:val="22"/>
          <w:szCs w:val="20"/>
          <w:vertAlign w:val="superscript"/>
          <w:lang w:eastAsia="en-US" w:bidi="ar-SA"/>
          <w14:ligatures w14:val="none"/>
        </w:rPr>
        <w:t>st</w:t>
      </w:r>
      <w:r>
        <w:rPr>
          <w:rFonts w:ascii="Arial" w:eastAsia="Malgun Gothic" w:hAnsi="Arial" w:cs="Arial"/>
          <w:color w:val="1A1A1A"/>
          <w:kern w:val="0"/>
          <w:sz w:val="22"/>
          <w:szCs w:val="20"/>
          <w:lang w:eastAsia="en-US" w:bidi="ar-SA"/>
          <w14:ligatures w14:val="none"/>
        </w:rPr>
        <w:t xml:space="preserve"> January).</w:t>
      </w:r>
    </w:p>
    <w:p w14:paraId="64B4FA6E" w14:textId="0A12DD18" w:rsidR="00AD4235" w:rsidRDefault="00AD4235" w:rsidP="0013046C">
      <w:pPr>
        <w:spacing w:after="0" w:line="276" w:lineRule="auto"/>
        <w:jc w:val="both"/>
        <w:rPr>
          <w:rFonts w:ascii="Arial" w:eastAsia="Malgun Gothic" w:hAnsi="Arial" w:cs="Arial"/>
          <w:color w:val="1A1A1A"/>
          <w:kern w:val="0"/>
          <w:sz w:val="22"/>
          <w:szCs w:val="20"/>
          <w:lang w:eastAsia="en-US" w:bidi="ar-SA"/>
          <w14:ligatures w14:val="none"/>
        </w:rPr>
      </w:pPr>
      <w:r w:rsidRPr="00AD4235">
        <w:rPr>
          <w:rFonts w:ascii="Arial" w:eastAsia="Malgun Gothic" w:hAnsi="Arial" w:cs="Arial"/>
          <w:color w:val="1A1A1A"/>
          <w:kern w:val="0"/>
          <w:sz w:val="22"/>
          <w:szCs w:val="20"/>
          <w:lang w:eastAsia="en-US" w:bidi="ar-SA"/>
          <w14:ligatures w14:val="none"/>
        </w:rPr>
        <w:t xml:space="preserve">ESMA states that </w:t>
      </w:r>
      <w:r>
        <w:rPr>
          <w:rFonts w:ascii="Arial" w:eastAsia="Malgun Gothic" w:hAnsi="Arial" w:cs="Arial"/>
          <w:color w:val="1A1A1A"/>
          <w:kern w:val="0"/>
          <w:sz w:val="22"/>
          <w:szCs w:val="20"/>
          <w:lang w:eastAsia="en-US" w:bidi="ar-SA"/>
          <w14:ligatures w14:val="none"/>
        </w:rPr>
        <w:t>‘</w:t>
      </w:r>
      <w:r w:rsidRPr="00AD4235">
        <w:rPr>
          <w:rFonts w:ascii="Arial" w:eastAsia="Malgun Gothic" w:hAnsi="Arial" w:cs="Arial"/>
          <w:i/>
          <w:iCs/>
          <w:color w:val="1A1A1A"/>
          <w:kern w:val="0"/>
          <w:sz w:val="22"/>
          <w:szCs w:val="20"/>
          <w:lang w:eastAsia="en-US" w:bidi="ar-SA"/>
          <w14:ligatures w14:val="none"/>
        </w:rPr>
        <w:t>to avoid that a unilateral amendment results in an increase of fees without the customer consent, where the amendment results in an increase of fees, the agreement should provide the user with the right to terminate the agreement, without incurring any penalties.</w:t>
      </w:r>
      <w:r>
        <w:rPr>
          <w:rFonts w:ascii="Arial" w:eastAsia="Malgun Gothic" w:hAnsi="Arial" w:cs="Arial"/>
          <w:i/>
          <w:iCs/>
          <w:color w:val="1A1A1A"/>
          <w:kern w:val="0"/>
          <w:sz w:val="22"/>
          <w:szCs w:val="20"/>
          <w:lang w:eastAsia="en-US" w:bidi="ar-SA"/>
          <w14:ligatures w14:val="none"/>
        </w:rPr>
        <w:t xml:space="preserve">’ </w:t>
      </w:r>
      <w:r w:rsidRPr="00AD4235">
        <w:rPr>
          <w:rFonts w:ascii="Arial" w:eastAsia="Malgun Gothic" w:hAnsi="Arial" w:cs="Arial"/>
          <w:color w:val="1A1A1A"/>
          <w:kern w:val="0"/>
          <w:sz w:val="22"/>
          <w:szCs w:val="20"/>
          <w:lang w:eastAsia="en-US" w:bidi="ar-SA"/>
          <w14:ligatures w14:val="none"/>
        </w:rPr>
        <w:t>IPUG notes that usually consumers are not able to terminate agreements, because there are no alternative RTVs available (this is a highly monopolistic market)</w:t>
      </w:r>
      <w:r w:rsidR="0013485D">
        <w:rPr>
          <w:rFonts w:ascii="Arial" w:eastAsia="Malgun Gothic" w:hAnsi="Arial" w:cs="Arial"/>
          <w:color w:val="1A1A1A"/>
          <w:kern w:val="0"/>
          <w:sz w:val="22"/>
          <w:szCs w:val="20"/>
          <w:lang w:eastAsia="en-US" w:bidi="ar-SA"/>
          <w14:ligatures w14:val="none"/>
        </w:rPr>
        <w:t>.</w:t>
      </w:r>
    </w:p>
    <w:p w14:paraId="12D97972" w14:textId="73A4F1C1" w:rsidR="00863886" w:rsidRPr="0013046C" w:rsidRDefault="00863886" w:rsidP="0013046C">
      <w:pPr>
        <w:spacing w:after="0" w:line="276" w:lineRule="auto"/>
        <w:jc w:val="both"/>
        <w:rPr>
          <w:rFonts w:ascii="Arial" w:eastAsia="Malgun Gothic" w:hAnsi="Arial" w:cs="Arial"/>
          <w:i/>
          <w:iCs/>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Once again IPUG asks to increase notice period to 90 days (3 months)</w:t>
      </w:r>
    </w:p>
    <w:p w14:paraId="54F5AA2F"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&lt;ESMA_QUESTION_CP1_36&gt;</w:t>
      </w:r>
    </w:p>
    <w:p w14:paraId="6F8E9EE5"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4D729E84"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p>
    <w:p w14:paraId="41381A60"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&lt;ESMA_QUESTION_CP1_37&gt;</w:t>
      </w:r>
    </w:p>
    <w:p w14:paraId="602607F8" w14:textId="26324EB6" w:rsidR="00C22C22" w:rsidRPr="00863886" w:rsidRDefault="00863886" w:rsidP="0013046C">
      <w:pPr>
        <w:spacing w:after="0" w:line="276" w:lineRule="auto"/>
        <w:jc w:val="both"/>
        <w:rPr>
          <w:rFonts w:ascii="Arial" w:eastAsia="Malgun Gothic" w:hAnsi="Arial" w:cs="Arial"/>
          <w:color w:val="1A1A1A"/>
          <w:kern w:val="0"/>
          <w:sz w:val="22"/>
          <w:szCs w:val="20"/>
          <w:lang w:eastAsia="en-US" w:bidi="ar-SA"/>
          <w14:ligatures w14:val="none"/>
        </w:rPr>
      </w:pPr>
      <w:r w:rsidRPr="00863886">
        <w:rPr>
          <w:rFonts w:ascii="Arial" w:eastAsia="Malgun Gothic" w:hAnsi="Arial" w:cs="Arial"/>
          <w:color w:val="1A1A1A"/>
          <w:kern w:val="0"/>
          <w:sz w:val="22"/>
          <w:szCs w:val="20"/>
          <w:lang w:eastAsia="en-US" w:bidi="ar-SA"/>
          <w14:ligatures w14:val="none"/>
        </w:rPr>
        <w:t xml:space="preserve">IPUG members note that per </w:t>
      </w:r>
      <w:r>
        <w:rPr>
          <w:rFonts w:ascii="Arial" w:eastAsia="Malgun Gothic" w:hAnsi="Arial" w:cs="Arial"/>
          <w:color w:val="1A1A1A"/>
          <w:kern w:val="0"/>
          <w:sz w:val="22"/>
          <w:szCs w:val="20"/>
          <w:lang w:eastAsia="en-US" w:bidi="ar-SA"/>
          <w14:ligatures w14:val="none"/>
        </w:rPr>
        <w:t xml:space="preserve">user model is </w:t>
      </w:r>
      <w:r w:rsidR="00915A27">
        <w:rPr>
          <w:rFonts w:ascii="Arial" w:eastAsia="Malgun Gothic" w:hAnsi="Arial" w:cs="Arial"/>
          <w:color w:val="1A1A1A"/>
          <w:kern w:val="0"/>
          <w:sz w:val="22"/>
          <w:szCs w:val="20"/>
          <w:lang w:eastAsia="en-US" w:bidi="ar-SA"/>
          <w14:ligatures w14:val="none"/>
        </w:rPr>
        <w:t xml:space="preserve">now offered by European RTVs. </w:t>
      </w:r>
      <w:r w:rsidR="00A40DFE">
        <w:rPr>
          <w:rFonts w:ascii="Arial" w:eastAsia="Malgun Gothic" w:hAnsi="Arial" w:cs="Arial"/>
          <w:color w:val="1A1A1A"/>
          <w:kern w:val="0"/>
          <w:sz w:val="22"/>
          <w:szCs w:val="20"/>
          <w:lang w:eastAsia="en-US" w:bidi="ar-SA"/>
          <w14:ligatures w14:val="none"/>
        </w:rPr>
        <w:t>However,</w:t>
      </w:r>
      <w:r w:rsidR="00915A27">
        <w:rPr>
          <w:rFonts w:ascii="Arial" w:eastAsia="Malgun Gothic" w:hAnsi="Arial" w:cs="Arial"/>
          <w:color w:val="1A1A1A"/>
          <w:kern w:val="0"/>
          <w:sz w:val="22"/>
          <w:szCs w:val="20"/>
          <w:lang w:eastAsia="en-US" w:bidi="ar-SA"/>
          <w14:ligatures w14:val="none"/>
        </w:rPr>
        <w:t xml:space="preserve"> some RTVs implemented a burdensome, lengthy audits and (for example, for ICE Futures Europe) a </w:t>
      </w:r>
      <w:r w:rsidR="0013485D">
        <w:rPr>
          <w:rFonts w:ascii="Arial" w:eastAsia="Malgun Gothic" w:hAnsi="Arial" w:cs="Arial"/>
          <w:color w:val="1A1A1A"/>
          <w:kern w:val="0"/>
          <w:sz w:val="22"/>
          <w:szCs w:val="20"/>
          <w:lang w:eastAsia="en-US" w:bidi="ar-SA"/>
          <w14:ligatures w14:val="none"/>
        </w:rPr>
        <w:t>full-scale</w:t>
      </w:r>
      <w:r w:rsidR="00915A27">
        <w:rPr>
          <w:rFonts w:ascii="Arial" w:eastAsia="Malgun Gothic" w:hAnsi="Arial" w:cs="Arial"/>
          <w:color w:val="1A1A1A"/>
          <w:kern w:val="0"/>
          <w:sz w:val="22"/>
          <w:szCs w:val="20"/>
          <w:lang w:eastAsia="en-US" w:bidi="ar-SA"/>
          <w14:ligatures w14:val="none"/>
        </w:rPr>
        <w:t xml:space="preserve"> audit. Other RTVs (for example, BME) require customers and vendors to produce certain type of report that vendors do not support and BME is not willing to change their policy. In other </w:t>
      </w:r>
      <w:r w:rsidR="0013485D">
        <w:rPr>
          <w:rFonts w:ascii="Arial" w:eastAsia="Malgun Gothic" w:hAnsi="Arial" w:cs="Arial"/>
          <w:color w:val="1A1A1A"/>
          <w:kern w:val="0"/>
          <w:sz w:val="22"/>
          <w:szCs w:val="20"/>
          <w:lang w:eastAsia="en-US" w:bidi="ar-SA"/>
          <w14:ligatures w14:val="none"/>
        </w:rPr>
        <w:t>words,</w:t>
      </w:r>
      <w:r w:rsidR="00915A27">
        <w:rPr>
          <w:rFonts w:ascii="Arial" w:eastAsia="Malgun Gothic" w:hAnsi="Arial" w:cs="Arial"/>
          <w:color w:val="1A1A1A"/>
          <w:kern w:val="0"/>
          <w:sz w:val="22"/>
          <w:szCs w:val="20"/>
          <w:lang w:eastAsia="en-US" w:bidi="ar-SA"/>
          <w14:ligatures w14:val="none"/>
        </w:rPr>
        <w:t xml:space="preserve"> IPUG members note that while per user policy exists, it is not always possible to have it implemented. ESMA should note that there is usually a premium charge for being on per-user model, which does not always make it economically viable for certain businesses. </w:t>
      </w:r>
    </w:p>
    <w:p w14:paraId="043F1F26" w14:textId="7FA10ABE"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&lt;ESMA_QUESTION_CP1_37&gt;</w:t>
      </w:r>
    </w:p>
    <w:p w14:paraId="049AACDB"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3CE5FBF1"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ESMA’s proposal on penalties? Please elaborate your answer.</w:t>
      </w:r>
    </w:p>
    <w:p w14:paraId="5DFF10BC" w14:textId="77777777" w:rsid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&lt;ESMA_QUESTION_CP1_38&gt;</w:t>
      </w:r>
    </w:p>
    <w:p w14:paraId="2BD3AB61" w14:textId="1590F4C3" w:rsidR="00FA5BA2" w:rsidRPr="0013046C" w:rsidRDefault="00FA5BA2" w:rsidP="0013485D">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IPUG welcomes </w:t>
      </w:r>
      <w:r w:rsidR="009D3EAA">
        <w:rPr>
          <w:rFonts w:ascii="Arial" w:eastAsia="Malgun Gothic" w:hAnsi="Arial" w:cs="Arial"/>
          <w:color w:val="1A1A1A"/>
          <w:kern w:val="0"/>
          <w:sz w:val="22"/>
          <w:szCs w:val="20"/>
          <w:lang w:eastAsia="en-US" w:bidi="ar-SA"/>
          <w14:ligatures w14:val="none"/>
        </w:rPr>
        <w:t xml:space="preserve">ESMA suggestions for </w:t>
      </w:r>
      <w:r w:rsidRPr="00FA5BA2">
        <w:rPr>
          <w:rFonts w:ascii="Arial" w:eastAsia="Malgun Gothic" w:hAnsi="Arial" w:cs="Arial"/>
          <w:color w:val="1A1A1A"/>
          <w:kern w:val="0"/>
          <w:sz w:val="22"/>
          <w:szCs w:val="20"/>
          <w:lang w:eastAsia="en-US" w:bidi="ar-SA"/>
          <w14:ligatures w14:val="none"/>
        </w:rPr>
        <w:t xml:space="preserve">data provider to specify the details regarding audit practices in the data agreement. </w:t>
      </w:r>
      <w:r w:rsidR="0013485D">
        <w:rPr>
          <w:rFonts w:ascii="Arial" w:eastAsia="Malgun Gothic" w:hAnsi="Arial" w:cs="Arial"/>
          <w:color w:val="1A1A1A"/>
          <w:kern w:val="0"/>
          <w:sz w:val="22"/>
          <w:szCs w:val="20"/>
          <w:lang w:eastAsia="en-US" w:bidi="ar-SA"/>
          <w14:ligatures w14:val="none"/>
        </w:rPr>
        <w:t>However,</w:t>
      </w:r>
      <w:r w:rsidR="009D3EAA">
        <w:rPr>
          <w:rFonts w:ascii="Arial" w:eastAsia="Malgun Gothic" w:hAnsi="Arial" w:cs="Arial"/>
          <w:color w:val="1A1A1A"/>
          <w:kern w:val="0"/>
          <w:sz w:val="22"/>
          <w:szCs w:val="20"/>
          <w:lang w:eastAsia="en-US" w:bidi="ar-SA"/>
          <w14:ligatures w14:val="none"/>
        </w:rPr>
        <w:t xml:space="preserve"> because agreements are non-negotiable and </w:t>
      </w:r>
      <w:r w:rsidR="00A264BC">
        <w:rPr>
          <w:rFonts w:ascii="Arial" w:eastAsia="Malgun Gothic" w:hAnsi="Arial" w:cs="Arial"/>
          <w:color w:val="1A1A1A"/>
          <w:kern w:val="0"/>
          <w:sz w:val="22"/>
          <w:szCs w:val="20"/>
          <w:lang w:eastAsia="en-US" w:bidi="ar-SA"/>
          <w14:ligatures w14:val="none"/>
        </w:rPr>
        <w:t>are generally published on the website and periodically change, IPUG would recommend ESMA to define audit guidelines</w:t>
      </w:r>
      <w:r w:rsidR="0013485D">
        <w:rPr>
          <w:rFonts w:ascii="Arial" w:eastAsia="Malgun Gothic" w:hAnsi="Arial" w:cs="Arial"/>
          <w:color w:val="1A1A1A"/>
          <w:kern w:val="0"/>
          <w:sz w:val="22"/>
          <w:szCs w:val="20"/>
          <w:lang w:eastAsia="en-US" w:bidi="ar-SA"/>
          <w14:ligatures w14:val="none"/>
        </w:rPr>
        <w:t xml:space="preserve"> in greater details</w:t>
      </w:r>
      <w:r w:rsidR="00A264BC">
        <w:rPr>
          <w:rFonts w:ascii="Arial" w:eastAsia="Malgun Gothic" w:hAnsi="Arial" w:cs="Arial"/>
          <w:color w:val="1A1A1A"/>
          <w:kern w:val="0"/>
          <w:sz w:val="22"/>
          <w:szCs w:val="20"/>
          <w:lang w:eastAsia="en-US" w:bidi="ar-SA"/>
          <w14:ligatures w14:val="none"/>
        </w:rPr>
        <w:t>.</w:t>
      </w:r>
    </w:p>
    <w:p w14:paraId="1D9FFAFD" w14:textId="2E0C9321"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&lt;ESMA_QUESTION_CP1_38&gt;</w:t>
      </w:r>
    </w:p>
    <w:p w14:paraId="1D6C90F5"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6901C0B2"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ESMA’s proposal on audits? Please elaborate your answer.</w:t>
      </w:r>
    </w:p>
    <w:p w14:paraId="034A67A0"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&lt;ESMA_QUESTION_CP1_39&gt;</w:t>
      </w:r>
    </w:p>
    <w:p w14:paraId="2816CC43" w14:textId="7DA5D365" w:rsidR="00227865" w:rsidRPr="004A0EFD" w:rsidRDefault="00227865" w:rsidP="00227865">
      <w:pPr>
        <w:spacing w:after="0" w:line="276" w:lineRule="auto"/>
        <w:jc w:val="both"/>
        <w:rPr>
          <w:rFonts w:ascii="Arial" w:eastAsia="Malgun Gothic" w:hAnsi="Arial" w:cs="Arial"/>
          <w:color w:val="1A1A1A"/>
          <w:kern w:val="0"/>
          <w:sz w:val="22"/>
          <w:szCs w:val="20"/>
          <w:lang w:eastAsia="en-US" w:bidi="ar-SA"/>
          <w14:ligatures w14:val="none"/>
        </w:rPr>
      </w:pPr>
      <w:r w:rsidRPr="004A0EFD">
        <w:rPr>
          <w:rFonts w:ascii="Arial" w:eastAsia="Malgun Gothic" w:hAnsi="Arial" w:cs="Arial"/>
          <w:color w:val="1A1A1A"/>
          <w:kern w:val="0"/>
          <w:sz w:val="22"/>
          <w:szCs w:val="20"/>
          <w:lang w:eastAsia="en-US" w:bidi="ar-SA"/>
          <w14:ligatures w14:val="none"/>
        </w:rPr>
        <w:t>IPUG welcomes ESMA move t</w:t>
      </w:r>
      <w:r>
        <w:rPr>
          <w:rFonts w:ascii="Arial" w:eastAsia="Malgun Gothic" w:hAnsi="Arial" w:cs="Arial"/>
          <w:color w:val="1A1A1A"/>
          <w:kern w:val="0"/>
          <w:sz w:val="22"/>
          <w:szCs w:val="20"/>
          <w:lang w:eastAsia="en-US" w:bidi="ar-SA"/>
          <w14:ligatures w14:val="none"/>
        </w:rPr>
        <w:t xml:space="preserve">o define and limit audit term to 3 years. IPUG welcome the limitation of the audit process to 3 years. </w:t>
      </w:r>
      <w:r w:rsidR="0013485D">
        <w:rPr>
          <w:rFonts w:ascii="Arial" w:eastAsia="Malgun Gothic" w:hAnsi="Arial" w:cs="Arial"/>
          <w:color w:val="1A1A1A"/>
          <w:kern w:val="0"/>
          <w:sz w:val="22"/>
          <w:szCs w:val="20"/>
          <w:lang w:eastAsia="en-US" w:bidi="ar-SA"/>
          <w14:ligatures w14:val="none"/>
        </w:rPr>
        <w:t xml:space="preserve">IPUG notes that some RTVs conduct audits for a very long time with long periods </w:t>
      </w:r>
      <w:r w:rsidR="00C53C58">
        <w:rPr>
          <w:rFonts w:ascii="Arial" w:eastAsia="Malgun Gothic" w:hAnsi="Arial" w:cs="Arial"/>
          <w:color w:val="1A1A1A"/>
          <w:kern w:val="0"/>
          <w:sz w:val="22"/>
          <w:szCs w:val="20"/>
          <w:lang w:eastAsia="en-US" w:bidi="ar-SA"/>
          <w14:ligatures w14:val="none"/>
        </w:rPr>
        <w:t xml:space="preserve">where audits are not progressed. The whole audit process currently may take 5 years to complete. </w:t>
      </w:r>
      <w:r>
        <w:rPr>
          <w:rFonts w:ascii="Arial" w:eastAsia="Malgun Gothic" w:hAnsi="Arial" w:cs="Arial"/>
          <w:color w:val="1A1A1A"/>
          <w:kern w:val="0"/>
          <w:sz w:val="22"/>
          <w:szCs w:val="20"/>
          <w:lang w:eastAsia="en-US" w:bidi="ar-SA"/>
          <w14:ligatures w14:val="none"/>
        </w:rPr>
        <w:t xml:space="preserve"> </w:t>
      </w:r>
    </w:p>
    <w:p w14:paraId="4604F8D6"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&lt;ESMA_QUESTION_CP1_39&gt;</w:t>
      </w:r>
    </w:p>
    <w:p w14:paraId="47CAF4BF"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501C1668"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Would you adopt any additional safeguards to ensure market data agreements terms and conditions are fair and unbiased? Please elaborate your answer.</w:t>
      </w:r>
    </w:p>
    <w:p w14:paraId="60947782"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lastRenderedPageBreak/>
        <w:t>&lt;ESMA_QUESTION_CP1_40&gt;</w:t>
      </w:r>
    </w:p>
    <w:p w14:paraId="3AB9AD5D"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003C9B49"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&lt;ESMA_QUESTION_CP1_40&gt;</w:t>
      </w:r>
    </w:p>
    <w:p w14:paraId="301DF279"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07EBD338"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the standardised publication template set out in Annex I of the draft RTS? Do you have any comments and suggestions to improve the standardised publication format and the accompanying instructions? Please elaborate your answer.</w:t>
      </w:r>
    </w:p>
    <w:p w14:paraId="7D12C33D"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&lt;ESMA_QUESTION_CP1_41&gt;</w:t>
      </w:r>
    </w:p>
    <w:p w14:paraId="53D8E854"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4355D161"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&lt;ESMA_QUESTION_CP1_41&gt;</w:t>
      </w:r>
    </w:p>
    <w:p w14:paraId="4E4E6189"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3000A2CE"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the proposed list of standard terminology and definitions? Is there any other terminology used in market data policies that would need to be standardised? If yes, please give examples and suggestions of definitions.</w:t>
      </w:r>
    </w:p>
    <w:p w14:paraId="2372911B" w14:textId="77777777" w:rsid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&lt;ESMA_QUESTION_CP1_42&gt;</w:t>
      </w:r>
    </w:p>
    <w:p w14:paraId="0E2E697A" w14:textId="77777777" w:rsidR="00764356" w:rsidRPr="00764356" w:rsidRDefault="00764356" w:rsidP="00764356">
      <w:pPr>
        <w:spacing w:after="0" w:line="276" w:lineRule="auto"/>
        <w:jc w:val="both"/>
        <w:rPr>
          <w:rFonts w:ascii="Arial" w:eastAsia="Malgun Gothic" w:hAnsi="Arial" w:cs="Arial"/>
          <w:color w:val="1A1A1A"/>
          <w:kern w:val="0"/>
          <w:sz w:val="22"/>
          <w:szCs w:val="20"/>
          <w:lang w:eastAsia="en-US" w:bidi="ar-SA"/>
          <w14:ligatures w14:val="none"/>
        </w:rPr>
      </w:pPr>
    </w:p>
    <w:p w14:paraId="08DFC5E3" w14:textId="77777777" w:rsidR="00C53C58" w:rsidRDefault="00764356" w:rsidP="00736790">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IPUG members believe that there may be some confusion with termin</w:t>
      </w:r>
      <w:r w:rsidR="00736790">
        <w:rPr>
          <w:rFonts w:ascii="Arial" w:eastAsia="Malgun Gothic" w:hAnsi="Arial" w:cs="Arial"/>
          <w:color w:val="1A1A1A"/>
          <w:kern w:val="0"/>
          <w:sz w:val="22"/>
          <w:szCs w:val="20"/>
          <w:lang w:eastAsia="en-US" w:bidi="ar-SA"/>
          <w14:ligatures w14:val="none"/>
        </w:rPr>
        <w:t>ology around display and non-display</w:t>
      </w:r>
      <w:r w:rsidR="00C53C58">
        <w:rPr>
          <w:rFonts w:ascii="Arial" w:eastAsia="Malgun Gothic" w:hAnsi="Arial" w:cs="Arial"/>
          <w:color w:val="1A1A1A"/>
          <w:kern w:val="0"/>
          <w:sz w:val="22"/>
          <w:szCs w:val="20"/>
          <w:lang w:eastAsia="en-US" w:bidi="ar-SA"/>
          <w14:ligatures w14:val="none"/>
        </w:rPr>
        <w:t xml:space="preserve"> data</w:t>
      </w:r>
      <w:r w:rsidR="00736790">
        <w:rPr>
          <w:rFonts w:ascii="Arial" w:eastAsia="Malgun Gothic" w:hAnsi="Arial" w:cs="Arial"/>
          <w:color w:val="1A1A1A"/>
          <w:kern w:val="0"/>
          <w:sz w:val="22"/>
          <w:szCs w:val="20"/>
          <w:lang w:eastAsia="en-US" w:bidi="ar-SA"/>
          <w14:ligatures w14:val="none"/>
        </w:rPr>
        <w:t xml:space="preserve">. </w:t>
      </w:r>
    </w:p>
    <w:p w14:paraId="37407EAF" w14:textId="6442CF53" w:rsidR="003A749F" w:rsidRDefault="00736790" w:rsidP="00736790">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The data is market data, display and non-display is a way how consumers use the data. IPUG suggest </w:t>
      </w:r>
      <w:r w:rsidR="00C53C58">
        <w:rPr>
          <w:rFonts w:ascii="Arial" w:eastAsia="Malgun Gothic" w:hAnsi="Arial" w:cs="Arial"/>
          <w:color w:val="1A1A1A"/>
          <w:kern w:val="0"/>
          <w:sz w:val="22"/>
          <w:szCs w:val="20"/>
          <w:lang w:eastAsia="en-US" w:bidi="ar-SA"/>
          <w14:ligatures w14:val="none"/>
        </w:rPr>
        <w:t>changing</w:t>
      </w:r>
      <w:r>
        <w:rPr>
          <w:rFonts w:ascii="Arial" w:eastAsia="Malgun Gothic" w:hAnsi="Arial" w:cs="Arial"/>
          <w:color w:val="1A1A1A"/>
          <w:kern w:val="0"/>
          <w:sz w:val="22"/>
          <w:szCs w:val="20"/>
          <w:lang w:eastAsia="en-US" w:bidi="ar-SA"/>
          <w14:ligatures w14:val="none"/>
        </w:rPr>
        <w:t xml:space="preserve"> terminology display and non-display data to display license and non-display license. </w:t>
      </w:r>
    </w:p>
    <w:p w14:paraId="4AC2880C" w14:textId="69DFDA6D" w:rsidR="00C40173" w:rsidRDefault="003A749F" w:rsidP="00736790">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Physical connection is not something that all IPUG members can </w:t>
      </w:r>
      <w:r w:rsidR="00C53C58">
        <w:rPr>
          <w:rFonts w:ascii="Arial" w:eastAsia="Malgun Gothic" w:hAnsi="Arial" w:cs="Arial"/>
          <w:color w:val="1A1A1A"/>
          <w:kern w:val="0"/>
          <w:sz w:val="22"/>
          <w:szCs w:val="20"/>
          <w:lang w:eastAsia="en-US" w:bidi="ar-SA"/>
          <w14:ligatures w14:val="none"/>
        </w:rPr>
        <w:t>count,</w:t>
      </w:r>
      <w:r>
        <w:rPr>
          <w:rFonts w:ascii="Arial" w:eastAsia="Malgun Gothic" w:hAnsi="Arial" w:cs="Arial"/>
          <w:color w:val="1A1A1A"/>
          <w:kern w:val="0"/>
          <w:sz w:val="22"/>
          <w:szCs w:val="20"/>
          <w:lang w:eastAsia="en-US" w:bidi="ar-SA"/>
          <w14:ligatures w14:val="none"/>
        </w:rPr>
        <w:t xml:space="preserve"> and it is not </w:t>
      </w:r>
      <w:r w:rsidR="00CD1F2E">
        <w:rPr>
          <w:rFonts w:ascii="Arial" w:eastAsia="Malgun Gothic" w:hAnsi="Arial" w:cs="Arial"/>
          <w:color w:val="1A1A1A"/>
          <w:kern w:val="0"/>
          <w:sz w:val="22"/>
          <w:szCs w:val="20"/>
          <w:lang w:eastAsia="en-US" w:bidi="ar-SA"/>
          <w14:ligatures w14:val="none"/>
        </w:rPr>
        <w:t>representative</w:t>
      </w:r>
      <w:r>
        <w:rPr>
          <w:rFonts w:ascii="Arial" w:eastAsia="Malgun Gothic" w:hAnsi="Arial" w:cs="Arial"/>
          <w:color w:val="1A1A1A"/>
          <w:kern w:val="0"/>
          <w:sz w:val="22"/>
          <w:szCs w:val="20"/>
          <w:lang w:eastAsia="en-US" w:bidi="ar-SA"/>
          <w14:ligatures w14:val="none"/>
        </w:rPr>
        <w:t xml:space="preserve"> of the </w:t>
      </w:r>
      <w:r w:rsidR="00085248">
        <w:rPr>
          <w:rFonts w:ascii="Arial" w:eastAsia="Malgun Gothic" w:hAnsi="Arial" w:cs="Arial"/>
          <w:color w:val="1A1A1A"/>
          <w:kern w:val="0"/>
          <w:sz w:val="22"/>
          <w:szCs w:val="20"/>
          <w:lang w:eastAsia="en-US" w:bidi="ar-SA"/>
          <w14:ligatures w14:val="none"/>
        </w:rPr>
        <w:t xml:space="preserve">usage pattern. Certain application may require multiple connections for resilience purposes. </w:t>
      </w:r>
      <w:r w:rsidR="00C40173">
        <w:rPr>
          <w:rFonts w:ascii="Arial" w:eastAsia="Malgun Gothic" w:hAnsi="Arial" w:cs="Arial"/>
          <w:color w:val="1A1A1A"/>
          <w:kern w:val="0"/>
          <w:sz w:val="22"/>
          <w:szCs w:val="20"/>
          <w:lang w:eastAsia="en-US" w:bidi="ar-SA"/>
          <w14:ligatures w14:val="none"/>
        </w:rPr>
        <w:t xml:space="preserve">Number of connections can easily change through the contract term. </w:t>
      </w:r>
    </w:p>
    <w:p w14:paraId="2591206C" w14:textId="6D49FED8" w:rsidR="00764356" w:rsidRPr="00764356" w:rsidRDefault="00085248" w:rsidP="00736790">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IPUG members propose to charge per application </w:t>
      </w:r>
      <w:r w:rsidR="00CD1F2E">
        <w:rPr>
          <w:rFonts w:ascii="Arial" w:eastAsia="Malgun Gothic" w:hAnsi="Arial" w:cs="Arial"/>
          <w:color w:val="1A1A1A"/>
          <w:kern w:val="0"/>
          <w:sz w:val="22"/>
          <w:szCs w:val="20"/>
          <w:lang w:eastAsia="en-US" w:bidi="ar-SA"/>
          <w14:ligatures w14:val="none"/>
        </w:rPr>
        <w:t xml:space="preserve">instead with the </w:t>
      </w:r>
      <w:r w:rsidR="00C40173">
        <w:rPr>
          <w:rFonts w:ascii="Arial" w:eastAsia="Malgun Gothic" w:hAnsi="Arial" w:cs="Arial"/>
          <w:color w:val="1A1A1A"/>
          <w:kern w:val="0"/>
          <w:sz w:val="22"/>
          <w:szCs w:val="20"/>
          <w:lang w:eastAsia="en-US" w:bidi="ar-SA"/>
          <w14:ligatures w14:val="none"/>
        </w:rPr>
        <w:t>possibility</w:t>
      </w:r>
      <w:r w:rsidR="00CD1F2E">
        <w:rPr>
          <w:rFonts w:ascii="Arial" w:eastAsia="Malgun Gothic" w:hAnsi="Arial" w:cs="Arial"/>
          <w:color w:val="1A1A1A"/>
          <w:kern w:val="0"/>
          <w:sz w:val="22"/>
          <w:szCs w:val="20"/>
          <w:lang w:eastAsia="en-US" w:bidi="ar-SA"/>
          <w14:ligatures w14:val="none"/>
        </w:rPr>
        <w:t xml:space="preserve"> to have an enterprise license for </w:t>
      </w:r>
      <w:r w:rsidR="00C40173">
        <w:rPr>
          <w:rFonts w:ascii="Arial" w:eastAsia="Malgun Gothic" w:hAnsi="Arial" w:cs="Arial"/>
          <w:color w:val="1A1A1A"/>
          <w:kern w:val="0"/>
          <w:sz w:val="22"/>
          <w:szCs w:val="20"/>
          <w:lang w:eastAsia="en-US" w:bidi="ar-SA"/>
          <w14:ligatures w14:val="none"/>
        </w:rPr>
        <w:t>bigger firms (unlimited number of applications)</w:t>
      </w:r>
      <w:r w:rsidR="00CD1F2E">
        <w:rPr>
          <w:rFonts w:ascii="Arial" w:eastAsia="Malgun Gothic" w:hAnsi="Arial" w:cs="Arial"/>
          <w:color w:val="1A1A1A"/>
          <w:kern w:val="0"/>
          <w:sz w:val="22"/>
          <w:szCs w:val="20"/>
          <w:lang w:eastAsia="en-US" w:bidi="ar-SA"/>
          <w14:ligatures w14:val="none"/>
        </w:rPr>
        <w:t xml:space="preserve">. </w:t>
      </w:r>
      <w:r w:rsidR="00764356" w:rsidRPr="00764356">
        <w:rPr>
          <w:rFonts w:ascii="Arial" w:eastAsia="Malgun Gothic" w:hAnsi="Arial" w:cs="Arial"/>
          <w:color w:val="1A1A1A"/>
          <w:kern w:val="0"/>
          <w:sz w:val="22"/>
          <w:szCs w:val="20"/>
          <w:lang w:eastAsia="en-US" w:bidi="ar-SA"/>
          <w14:ligatures w14:val="none"/>
        </w:rPr>
        <w:t xml:space="preserve"> </w:t>
      </w:r>
    </w:p>
    <w:p w14:paraId="4B95A46D" w14:textId="77777777" w:rsidR="00764356" w:rsidRPr="00764356" w:rsidRDefault="00764356" w:rsidP="00764356">
      <w:pPr>
        <w:spacing w:after="0" w:line="276" w:lineRule="auto"/>
        <w:jc w:val="both"/>
        <w:rPr>
          <w:rFonts w:ascii="Arial" w:eastAsia="Malgun Gothic" w:hAnsi="Arial" w:cs="Arial"/>
          <w:color w:val="1A1A1A"/>
          <w:kern w:val="0"/>
          <w:sz w:val="22"/>
          <w:szCs w:val="20"/>
          <w:lang w:eastAsia="en-US" w:bidi="ar-SA"/>
          <w14:ligatures w14:val="none"/>
        </w:rPr>
      </w:pPr>
    </w:p>
    <w:p w14:paraId="2E0C94D5" w14:textId="77777777" w:rsidR="00764356" w:rsidRPr="0013046C" w:rsidRDefault="00764356" w:rsidP="0013046C">
      <w:pPr>
        <w:spacing w:after="0" w:line="276" w:lineRule="auto"/>
        <w:jc w:val="both"/>
        <w:rPr>
          <w:rFonts w:ascii="Arial" w:eastAsia="Malgun Gothic" w:hAnsi="Arial" w:cs="Arial"/>
          <w:color w:val="1A1A1A"/>
          <w:kern w:val="0"/>
          <w:sz w:val="22"/>
          <w:szCs w:val="20"/>
          <w:lang w:eastAsia="en-US" w:bidi="ar-SA"/>
          <w14:ligatures w14:val="none"/>
        </w:rPr>
      </w:pPr>
    </w:p>
    <w:p w14:paraId="055FC001"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&lt;ESMA_QUESTION_CP1_42&gt;</w:t>
      </w:r>
    </w:p>
    <w:p w14:paraId="4555ACB9"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02CFFE31"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p>
    <w:p w14:paraId="00574E22"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&lt;ESMA_QUESTION_CP1_43&gt;</w:t>
      </w:r>
    </w:p>
    <w:p w14:paraId="58CF8488" w14:textId="77777777" w:rsidR="00C53C58" w:rsidRDefault="00DC1495"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IPUG members noted that certain US exchange offer per quote unit of count. This may be a good idea to include this policy, as </w:t>
      </w:r>
      <w:r w:rsidR="00550D62">
        <w:rPr>
          <w:rFonts w:ascii="Arial" w:eastAsia="Malgun Gothic" w:hAnsi="Arial" w:cs="Arial"/>
          <w:color w:val="1A1A1A"/>
          <w:kern w:val="0"/>
          <w:sz w:val="22"/>
          <w:szCs w:val="20"/>
          <w:lang w:eastAsia="en-US" w:bidi="ar-SA"/>
          <w14:ligatures w14:val="none"/>
        </w:rPr>
        <w:t xml:space="preserve">some Wealth Management users may not require data very often and per user fees may be substantial for this business. </w:t>
      </w:r>
    </w:p>
    <w:p w14:paraId="47C5499F" w14:textId="4BCB7EE2" w:rsidR="00C22C22" w:rsidRDefault="002D3189"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Per device definition should be standardised as it is different from exchange to exchange and may be a good alternative to per user unit of count. </w:t>
      </w:r>
    </w:p>
    <w:p w14:paraId="00D08037" w14:textId="31EF6368"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&lt;ESMA_QUESTION_CP1_43&gt;</w:t>
      </w:r>
    </w:p>
    <w:p w14:paraId="59D36325"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1D8F5FE1"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lastRenderedPageBreak/>
        <w:t>Do you foresee other types of connectivity that should be defined beside “physical connection” to quantify the level of data consumption? Please elaborate your answer.</w:t>
      </w:r>
    </w:p>
    <w:p w14:paraId="205E0D16"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&lt;ESMA_QUESTION_CP1_44&gt;</w:t>
      </w:r>
    </w:p>
    <w:p w14:paraId="5328D05F" w14:textId="687D8B26" w:rsidR="0013046C" w:rsidRPr="0013046C" w:rsidRDefault="00734124" w:rsidP="0013046C">
      <w:pPr>
        <w:spacing w:after="0" w:line="276" w:lineRule="auto"/>
        <w:jc w:val="both"/>
        <w:rPr>
          <w:rFonts w:ascii="Arial" w:eastAsia="Malgun Gothic" w:hAnsi="Arial" w:cs="Arial"/>
          <w:color w:val="1A1A1A"/>
          <w:kern w:val="0"/>
          <w:sz w:val="22"/>
          <w:szCs w:val="20"/>
          <w:lang w:eastAsia="en-US" w:bidi="ar-SA"/>
          <w14:ligatures w14:val="none"/>
        </w:rPr>
      </w:pPr>
      <w:r>
        <w:rPr>
          <w:rFonts w:ascii="Arial" w:eastAsia="Malgun Gothic" w:hAnsi="Arial" w:cs="Arial"/>
          <w:color w:val="1A1A1A"/>
          <w:kern w:val="0"/>
          <w:sz w:val="22"/>
          <w:szCs w:val="20"/>
          <w:lang w:eastAsia="en-US" w:bidi="ar-SA"/>
          <w14:ligatures w14:val="none"/>
        </w:rPr>
        <w:t xml:space="preserve">IPUG members do not believe that physical connection </w:t>
      </w:r>
      <w:r w:rsidR="00C53C58">
        <w:rPr>
          <w:rFonts w:ascii="Arial" w:eastAsia="Malgun Gothic" w:hAnsi="Arial" w:cs="Arial"/>
          <w:color w:val="1A1A1A"/>
          <w:kern w:val="0"/>
          <w:sz w:val="22"/>
          <w:szCs w:val="20"/>
          <w:lang w:eastAsia="en-US" w:bidi="ar-SA"/>
          <w14:ligatures w14:val="none"/>
        </w:rPr>
        <w:t>quantifies</w:t>
      </w:r>
      <w:r>
        <w:rPr>
          <w:rFonts w:ascii="Arial" w:eastAsia="Malgun Gothic" w:hAnsi="Arial" w:cs="Arial"/>
          <w:color w:val="1A1A1A"/>
          <w:kern w:val="0"/>
          <w:sz w:val="22"/>
          <w:szCs w:val="20"/>
          <w:lang w:eastAsia="en-US" w:bidi="ar-SA"/>
          <w14:ligatures w14:val="none"/>
        </w:rPr>
        <w:t xml:space="preserve"> the level of data consumption. For example, Bloomberg BPIPE feed come automatically with </w:t>
      </w:r>
      <w:r w:rsidR="00734A15">
        <w:rPr>
          <w:rFonts w:ascii="Arial" w:eastAsia="Malgun Gothic" w:hAnsi="Arial" w:cs="Arial"/>
          <w:color w:val="1A1A1A"/>
          <w:kern w:val="0"/>
          <w:sz w:val="22"/>
          <w:szCs w:val="20"/>
          <w:lang w:eastAsia="en-US" w:bidi="ar-SA"/>
          <w14:ligatures w14:val="none"/>
        </w:rPr>
        <w:t xml:space="preserve">a pair of connections for production and there are separate UAT and Development instances. This means that one Bloomberg BPIPE application may have </w:t>
      </w:r>
      <w:r w:rsidR="004F603A">
        <w:rPr>
          <w:rFonts w:ascii="Arial" w:eastAsia="Malgun Gothic" w:hAnsi="Arial" w:cs="Arial"/>
          <w:color w:val="1A1A1A"/>
          <w:kern w:val="0"/>
          <w:sz w:val="22"/>
          <w:szCs w:val="20"/>
          <w:lang w:eastAsia="en-US" w:bidi="ar-SA"/>
          <w14:ligatures w14:val="none"/>
        </w:rPr>
        <w:t>4 connections, this would be a standard set up regardless of how big or small the system is. Physical connections do not represent level of usage, it is often higher for resiliency</w:t>
      </w:r>
      <w:r w:rsidR="00EC197A">
        <w:rPr>
          <w:rFonts w:ascii="Arial" w:eastAsia="Malgun Gothic" w:hAnsi="Arial" w:cs="Arial"/>
          <w:color w:val="1A1A1A"/>
          <w:kern w:val="0"/>
          <w:sz w:val="22"/>
          <w:szCs w:val="20"/>
          <w:lang w:eastAsia="en-US" w:bidi="ar-SA"/>
          <w14:ligatures w14:val="none"/>
        </w:rPr>
        <w:t>, failover</w:t>
      </w:r>
      <w:r w:rsidR="004F603A">
        <w:rPr>
          <w:rFonts w:ascii="Arial" w:eastAsia="Malgun Gothic" w:hAnsi="Arial" w:cs="Arial"/>
          <w:color w:val="1A1A1A"/>
          <w:kern w:val="0"/>
          <w:sz w:val="22"/>
          <w:szCs w:val="20"/>
          <w:lang w:eastAsia="en-US" w:bidi="ar-SA"/>
          <w14:ligatures w14:val="none"/>
        </w:rPr>
        <w:t xml:space="preserve"> purposes. </w:t>
      </w:r>
      <w:r w:rsidR="00734A15">
        <w:rPr>
          <w:rFonts w:ascii="Arial" w:eastAsia="Malgun Gothic" w:hAnsi="Arial" w:cs="Arial"/>
          <w:color w:val="1A1A1A"/>
          <w:kern w:val="0"/>
          <w:sz w:val="22"/>
          <w:szCs w:val="20"/>
          <w:lang w:eastAsia="en-US" w:bidi="ar-SA"/>
          <w14:ligatures w14:val="none"/>
        </w:rPr>
        <w:t xml:space="preserve"> </w:t>
      </w:r>
    </w:p>
    <w:p w14:paraId="5FCE9C02"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&lt;ESMA_QUESTION_CP1_44&gt;</w:t>
      </w:r>
    </w:p>
    <w:p w14:paraId="1443EE38"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0D1686A1"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think there is any other information that market data providers should disclose to improve the transparency on market data costs and how prices for market data are set? If yes, please provide suggestions.</w:t>
      </w:r>
    </w:p>
    <w:p w14:paraId="34378F61"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&lt;ESMA_QUESTION_CP1_45&gt;</w:t>
      </w:r>
    </w:p>
    <w:p w14:paraId="52843B41"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35E1FD3D"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&lt;ESMA_QUESTION_CP1_45&gt;</w:t>
      </w:r>
    </w:p>
    <w:p w14:paraId="39BCD1B8"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1BC66167"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the approach on delayed data proposed by ESMA? Please elaborate your answer.</w:t>
      </w:r>
    </w:p>
    <w:p w14:paraId="249372ED"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&lt;ESMA_QUESTION_CP1_46&gt;</w:t>
      </w:r>
    </w:p>
    <w:p w14:paraId="47ACC504"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4A0EF8E7"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&lt;ESMA_QUESTION_CP1_46&gt;</w:t>
      </w:r>
    </w:p>
    <w:p w14:paraId="3B6F9693"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42F06B61"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Do you agree with the proposal not to require any type of registration to access delayed data? Please elaborate your answer.</w:t>
      </w:r>
    </w:p>
    <w:p w14:paraId="1C544A3F"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&lt;ESMA_QUESTION_CP1_47&gt;</w:t>
      </w:r>
    </w:p>
    <w:p w14:paraId="68B11CD7"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6DAC48A8"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&lt;ESMA_QUESTION_CP1_47&gt;</w:t>
      </w:r>
    </w:p>
    <w:p w14:paraId="056C4C19"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26B00053"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ESMA proposes the RTS to enter into force 3 months after publication in the OJ to allow for sufficient time for preparation and amendments to be made by the industry. Would you agree? Would you suggest a different or no preparation time? Please elaborate your answer.</w:t>
      </w:r>
    </w:p>
    <w:p w14:paraId="49092E31"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&lt;ESMA_QUESTION_CP1_48&gt;</w:t>
      </w:r>
    </w:p>
    <w:p w14:paraId="003DF6EE"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6436B5DE"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&lt;ESMA_QUESTION_CP1_48&gt;</w:t>
      </w:r>
    </w:p>
    <w:p w14:paraId="21EBE257"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7156D98D"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lastRenderedPageBreak/>
        <w:t>Do you have any further comment or suggestion on the draft RTS? Please elaborate your answer.</w:t>
      </w:r>
    </w:p>
    <w:p w14:paraId="2BE4EE09"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&lt;ESMA_QUESTION_CP1_49&gt;</w:t>
      </w:r>
    </w:p>
    <w:p w14:paraId="088C93D5"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14100D93"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&lt;ESMA_QUESTION_CP1_49&gt;</w:t>
      </w:r>
    </w:p>
    <w:p w14:paraId="46E586E9" w14:textId="77777777" w:rsidR="0013046C" w:rsidRPr="0013046C" w:rsidRDefault="0013046C" w:rsidP="0013046C">
      <w:pPr>
        <w:spacing w:after="250" w:line="276" w:lineRule="auto"/>
        <w:jc w:val="both"/>
        <w:rPr>
          <w:rFonts w:ascii="Arial" w:eastAsia="Malgun Gothic" w:hAnsi="Arial" w:cs="Arial"/>
          <w:color w:val="1A1A1A"/>
          <w:kern w:val="0"/>
          <w:sz w:val="22"/>
          <w:szCs w:val="20"/>
          <w:lang w:eastAsia="en-US" w:bidi="ar-SA"/>
          <w14:ligatures w14:val="none"/>
        </w:rPr>
      </w:pPr>
    </w:p>
    <w:p w14:paraId="6E756F8F" w14:textId="77777777" w:rsidR="0013046C" w:rsidRPr="0013046C" w:rsidRDefault="0013046C" w:rsidP="0013046C">
      <w:pPr>
        <w:spacing w:after="240" w:line="259" w:lineRule="auto"/>
        <w:ind w:left="851" w:hanging="851"/>
        <w:jc w:val="both"/>
        <w:rPr>
          <w:rFonts w:ascii="Arial" w:eastAsia="Malgun Gothic" w:hAnsi="Arial" w:cs="Arial"/>
          <w:b/>
          <w:color w:val="1A1A1A"/>
          <w:kern w:val="0"/>
          <w:sz w:val="22"/>
          <w:szCs w:val="22"/>
          <w:lang w:eastAsia="en-US" w:bidi="ar-SA"/>
          <w14:ligatures w14:val="none"/>
        </w:rPr>
      </w:pPr>
      <w:r w:rsidRPr="0013046C">
        <w:rPr>
          <w:rFonts w:ascii="Arial" w:eastAsia="Malgun Gothic" w:hAnsi="Arial" w:cs="Arial"/>
          <w:b/>
          <w:color w:val="1A1A1A"/>
          <w:kern w:val="0"/>
          <w:sz w:val="22"/>
          <w:szCs w:val="22"/>
          <w:lang w:eastAsia="en-US" w:bidi="ar-SA"/>
          <w14:ligatures w14:val="none"/>
        </w:rPr>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p>
    <w:p w14:paraId="2A45B5C4"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&lt;ESMA_QUESTION_CP1_50&gt;</w:t>
      </w:r>
    </w:p>
    <w:p w14:paraId="4F5ADA92"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TYPE YOUR TEXT HERE</w:t>
      </w:r>
    </w:p>
    <w:p w14:paraId="6B7FFFFC" w14:textId="77777777" w:rsidR="0013046C" w:rsidRPr="0013046C" w:rsidRDefault="0013046C" w:rsidP="0013046C">
      <w:pPr>
        <w:spacing w:after="0" w:line="276" w:lineRule="auto"/>
        <w:jc w:val="both"/>
        <w:rPr>
          <w:rFonts w:ascii="Arial" w:eastAsia="Malgun Gothic" w:hAnsi="Arial" w:cs="Arial"/>
          <w:color w:val="1A1A1A"/>
          <w:kern w:val="0"/>
          <w:sz w:val="22"/>
          <w:szCs w:val="20"/>
          <w:lang w:eastAsia="en-US" w:bidi="ar-SA"/>
          <w14:ligatures w14:val="none"/>
        </w:rPr>
      </w:pPr>
      <w:r w:rsidRPr="0013046C">
        <w:rPr>
          <w:rFonts w:ascii="Arial" w:eastAsia="Malgun Gothic" w:hAnsi="Arial" w:cs="Arial"/>
          <w:color w:val="1A1A1A"/>
          <w:kern w:val="0"/>
          <w:sz w:val="22"/>
          <w:szCs w:val="20"/>
          <w:lang w:eastAsia="en-US" w:bidi="ar-SA"/>
          <w14:ligatures w14:val="none"/>
        </w:rPr>
        <w:t>&lt;ESMA_QUESTION_CP1_50&gt;</w:t>
      </w:r>
    </w:p>
    <w:p w14:paraId="4A5B55FF" w14:textId="77777777" w:rsidR="0013046C" w:rsidRDefault="0013046C"/>
    <w:sectPr w:rsidR="00130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64112" w14:textId="77777777" w:rsidR="00764356" w:rsidRDefault="00764356" w:rsidP="00764356">
      <w:pPr>
        <w:spacing w:after="0" w:line="240" w:lineRule="auto"/>
      </w:pPr>
      <w:r>
        <w:separator/>
      </w:r>
    </w:p>
  </w:endnote>
  <w:endnote w:type="continuationSeparator" w:id="0">
    <w:p w14:paraId="3655FAD7" w14:textId="77777777" w:rsidR="00764356" w:rsidRDefault="00764356" w:rsidP="0076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F0B7A" w14:textId="77777777" w:rsidR="00764356" w:rsidRDefault="00764356" w:rsidP="00764356">
      <w:pPr>
        <w:spacing w:after="0" w:line="240" w:lineRule="auto"/>
      </w:pPr>
      <w:r>
        <w:separator/>
      </w:r>
    </w:p>
  </w:footnote>
  <w:footnote w:type="continuationSeparator" w:id="0">
    <w:p w14:paraId="73B6DB97" w14:textId="77777777" w:rsidR="00764356" w:rsidRDefault="00764356" w:rsidP="00764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6C"/>
    <w:rsid w:val="00032A11"/>
    <w:rsid w:val="00085248"/>
    <w:rsid w:val="000A0A5D"/>
    <w:rsid w:val="0013046C"/>
    <w:rsid w:val="0013485D"/>
    <w:rsid w:val="00184907"/>
    <w:rsid w:val="001F3712"/>
    <w:rsid w:val="001F43D2"/>
    <w:rsid w:val="00227865"/>
    <w:rsid w:val="002D3189"/>
    <w:rsid w:val="00336B32"/>
    <w:rsid w:val="003A749F"/>
    <w:rsid w:val="00460429"/>
    <w:rsid w:val="004A0EFD"/>
    <w:rsid w:val="004F603A"/>
    <w:rsid w:val="00550D62"/>
    <w:rsid w:val="00667626"/>
    <w:rsid w:val="00734124"/>
    <w:rsid w:val="00734A15"/>
    <w:rsid w:val="00736790"/>
    <w:rsid w:val="00764356"/>
    <w:rsid w:val="007B5C80"/>
    <w:rsid w:val="007F6DED"/>
    <w:rsid w:val="00863886"/>
    <w:rsid w:val="008713E9"/>
    <w:rsid w:val="008A4F13"/>
    <w:rsid w:val="00915A27"/>
    <w:rsid w:val="009D3EAA"/>
    <w:rsid w:val="00A05EF3"/>
    <w:rsid w:val="00A264BC"/>
    <w:rsid w:val="00A40DFE"/>
    <w:rsid w:val="00A61885"/>
    <w:rsid w:val="00AD4235"/>
    <w:rsid w:val="00B07A53"/>
    <w:rsid w:val="00B1240A"/>
    <w:rsid w:val="00B718D6"/>
    <w:rsid w:val="00BC1CA5"/>
    <w:rsid w:val="00C22C22"/>
    <w:rsid w:val="00C40173"/>
    <w:rsid w:val="00C536A0"/>
    <w:rsid w:val="00C53C58"/>
    <w:rsid w:val="00C65170"/>
    <w:rsid w:val="00CA223F"/>
    <w:rsid w:val="00CB0006"/>
    <w:rsid w:val="00CD1F2E"/>
    <w:rsid w:val="00CF2FE2"/>
    <w:rsid w:val="00DC1495"/>
    <w:rsid w:val="00E337F3"/>
    <w:rsid w:val="00EC197A"/>
    <w:rsid w:val="00F35273"/>
    <w:rsid w:val="00F735DC"/>
    <w:rsid w:val="00F978A9"/>
    <w:rsid w:val="00FA5BA2"/>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BF424"/>
  <w15:chartTrackingRefBased/>
  <w15:docId w15:val="{A478B267-5EA1-4B68-91FE-196456C7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46C"/>
    <w:rPr>
      <w:rFonts w:eastAsiaTheme="majorEastAsia" w:cstheme="majorBidi"/>
      <w:color w:val="272727" w:themeColor="text1" w:themeTint="D8"/>
    </w:rPr>
  </w:style>
  <w:style w:type="paragraph" w:styleId="Title">
    <w:name w:val="Title"/>
    <w:basedOn w:val="Normal"/>
    <w:next w:val="Normal"/>
    <w:link w:val="TitleChar"/>
    <w:uiPriority w:val="10"/>
    <w:qFormat/>
    <w:rsid w:val="00130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46C"/>
    <w:pPr>
      <w:spacing w:before="160"/>
      <w:jc w:val="center"/>
    </w:pPr>
    <w:rPr>
      <w:i/>
      <w:iCs/>
      <w:color w:val="404040" w:themeColor="text1" w:themeTint="BF"/>
    </w:rPr>
  </w:style>
  <w:style w:type="character" w:customStyle="1" w:styleId="QuoteChar">
    <w:name w:val="Quote Char"/>
    <w:basedOn w:val="DefaultParagraphFont"/>
    <w:link w:val="Quote"/>
    <w:uiPriority w:val="29"/>
    <w:rsid w:val="0013046C"/>
    <w:rPr>
      <w:i/>
      <w:iCs/>
      <w:color w:val="404040" w:themeColor="text1" w:themeTint="BF"/>
    </w:rPr>
  </w:style>
  <w:style w:type="paragraph" w:styleId="ListParagraph">
    <w:name w:val="List Paragraph"/>
    <w:basedOn w:val="Normal"/>
    <w:uiPriority w:val="34"/>
    <w:qFormat/>
    <w:rsid w:val="0013046C"/>
    <w:pPr>
      <w:ind w:left="720"/>
      <w:contextualSpacing/>
    </w:pPr>
  </w:style>
  <w:style w:type="character" w:styleId="IntenseEmphasis">
    <w:name w:val="Intense Emphasis"/>
    <w:basedOn w:val="DefaultParagraphFont"/>
    <w:uiPriority w:val="21"/>
    <w:qFormat/>
    <w:rsid w:val="0013046C"/>
    <w:rPr>
      <w:i/>
      <w:iCs/>
      <w:color w:val="0F4761" w:themeColor="accent1" w:themeShade="BF"/>
    </w:rPr>
  </w:style>
  <w:style w:type="paragraph" w:styleId="IntenseQuote">
    <w:name w:val="Intense Quote"/>
    <w:basedOn w:val="Normal"/>
    <w:next w:val="Normal"/>
    <w:link w:val="IntenseQuoteChar"/>
    <w:uiPriority w:val="30"/>
    <w:qFormat/>
    <w:rsid w:val="00130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46C"/>
    <w:rPr>
      <w:i/>
      <w:iCs/>
      <w:color w:val="0F4761" w:themeColor="accent1" w:themeShade="BF"/>
    </w:rPr>
  </w:style>
  <w:style w:type="character" w:styleId="IntenseReference">
    <w:name w:val="Intense Reference"/>
    <w:basedOn w:val="DefaultParagraphFont"/>
    <w:uiPriority w:val="32"/>
    <w:qFormat/>
    <w:rsid w:val="0013046C"/>
    <w:rPr>
      <w:b/>
      <w:bCs/>
      <w:smallCaps/>
      <w:color w:val="0F4761" w:themeColor="accent1" w:themeShade="BF"/>
      <w:spacing w:val="5"/>
    </w:rPr>
  </w:style>
  <w:style w:type="paragraph" w:styleId="Header">
    <w:name w:val="header"/>
    <w:basedOn w:val="Normal"/>
    <w:link w:val="HeaderChar"/>
    <w:uiPriority w:val="99"/>
    <w:unhideWhenUsed/>
    <w:rsid w:val="00764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356"/>
  </w:style>
  <w:style w:type="paragraph" w:styleId="Footer">
    <w:name w:val="footer"/>
    <w:basedOn w:val="Normal"/>
    <w:link w:val="FooterChar"/>
    <w:uiPriority w:val="99"/>
    <w:unhideWhenUsed/>
    <w:rsid w:val="00764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Borzova, Maria</dc:creator>
  <cp:keywords/>
  <dc:description/>
  <cp:lastModifiedBy>Borzova, Maria</cp:lastModifiedBy>
  <cp:revision>2</cp:revision>
  <dcterms:created xsi:type="dcterms:W3CDTF">2024-08-16T16:07:00Z</dcterms:created>
  <dcterms:modified xsi:type="dcterms:W3CDTF">2024-08-16T16:07:00Z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c8d7f2-ca33-4e66-89fa-dd8f3c1a21f6_Enabled">
    <vt:lpwstr>true</vt:lpwstr>
  </property>
  <property fmtid="{D5CDD505-2E9C-101B-9397-08002B2CF9AE}" pid="3" name="MSIP_Label_79c8d7f2-ca33-4e66-89fa-dd8f3c1a21f6_SetDate">
    <vt:lpwstr>2024-08-15T14:39:07Z</vt:lpwstr>
  </property>
  <property fmtid="{D5CDD505-2E9C-101B-9397-08002B2CF9AE}" pid="4" name="MSIP_Label_79c8d7f2-ca33-4e66-89fa-dd8f3c1a21f6_Method">
    <vt:lpwstr>Privileged</vt:lpwstr>
  </property>
  <property fmtid="{D5CDD505-2E9C-101B-9397-08002B2CF9AE}" pid="5" name="MSIP_Label_79c8d7f2-ca33-4e66-89fa-dd8f3c1a21f6_Name">
    <vt:lpwstr>Internal-MayLeave</vt:lpwstr>
  </property>
  <property fmtid="{D5CDD505-2E9C-101B-9397-08002B2CF9AE}" pid="6" name="MSIP_Label_79c8d7f2-ca33-4e66-89fa-dd8f3c1a21f6_SiteId">
    <vt:lpwstr>fb6ea403-7cf1-4905-810a-fe5547e98204</vt:lpwstr>
  </property>
  <property fmtid="{D5CDD505-2E9C-101B-9397-08002B2CF9AE}" pid="7" name="MSIP_Label_79c8d7f2-ca33-4e66-89fa-dd8f3c1a21f6_ActionId">
    <vt:lpwstr>a637ecd5-13f3-438d-a920-bd5ab07e4941</vt:lpwstr>
  </property>
  <property fmtid="{D5CDD505-2E9C-101B-9397-08002B2CF9AE}" pid="8" name="MSIP_Label_79c8d7f2-ca33-4e66-89fa-dd8f3c1a21f6_ContentBits">
    <vt:lpwstr>0</vt:lpwstr>
  </property>
</Properties>
</file>